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AC/3302/2019 vom 19. November 2019</w:t>
      </w:r>
    </w:p>
    <w:p>
      <w:r>
        <w:t>GE Cour de justice, 2019-11-19, FR</w:t>
      </w:r>
    </w:p>
    <w:p>
      <w:r>
        <w:rPr>
          <w:b/>
        </w:rPr>
        <w:t xml:space="preserve">Quelle: </w:t>
      </w:r>
      <w:r>
        <w:t>https://mcp.opencaselaw.ch/entscheid/ge_gerichte_AC_3302_2019</w:t>
      </w:r>
    </w:p>
    <w:p>
      <w:r>
        <w:t>FR: GE_GERICHTE AC/3302/2019 du 19 novembre 2019</w:t>
      </w:r>
    </w:p>
    <w:p>
      <w:r>
        <w:t>IT: GE_GERICHTE AC/3302/2019 del 19 novembre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la pièce nouvelle produite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w:t>
      </w:r>
    </w:p>
    <w:p>
      <w:r>
        <w:rPr>
          <w:b/>
        </w:rPr>
        <w:t>E. 3.2</w:t>
      </w:r>
    </w:p>
    <w:p>
      <w:r>
        <w:t>En l'espèce, c'est à juste titre, compte tenu des faits portés à sa connaissance, que le Vice-président du Tribunal civil a refusé d'octroyer le bénéfice de l'assistance juridique à la recourante au motif que la condition d'indigence n'était pas remplie. Les éléments sur lesquels se fonde la recourante pour contester les montants retenus par l'Autorité de première instance dans sa décision querellée n'ayant pas été produits en première instance, ils sont irrecevables dans le cadre du présent recours. Partant, le recours, infondé, sera rejeté. Cela étant, la recourante conserve la possibilité de déposer une nouvelle demande auprès de l'Assistance juridique en y exposant tous les faits nouveaux pertinents.</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 décembre 2019 par A______ contre la décision rendue le 19 novembre 2019 par le Vice-président du Tribunal civil dans la cause AC/3302/2019. Au fond : Le rejette. Déboute A______ de toutes autres conclusions. Dit qu'il n'est pas perçu de frais judiciaires pour le recours. Notifie une copie de la présente décision à A______ en l'étude de Me Nadia MEYLAN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