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AC/329/2019 vom 20. November 2019</w:t>
      </w:r>
    </w:p>
    <w:p>
      <w:r>
        <w:t>GE Cour de justice, 2019-11-20, FR</w:t>
      </w:r>
    </w:p>
    <w:p>
      <w:r>
        <w:rPr>
          <w:b/>
        </w:rPr>
        <w:t xml:space="preserve">Quelle: </w:t>
      </w:r>
      <w:r>
        <w:t>https://mcp.opencaselaw.ch/entscheid/ge_gerichte_AC_329_2019</w:t>
      </w:r>
    </w:p>
    <w:p>
      <w:r>
        <w:t>FR: GE_GERICHTE AC/329/2019 du 20 novembre 2019</w:t>
      </w:r>
    </w:p>
    <w:p>
      <w:r>
        <w:t>IT: GE_GERICHTE AC/329/2019 del 20 novembre 2019</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et 321 al. 2 CPC).</w:t>
      </w:r>
    </w:p>
    <w:p>
      <w:r>
        <w:rPr>
          <w:b/>
        </w:rPr>
        <w:t>E. 1.2</w:t>
      </w:r>
    </w:p>
    <w:p>
      <w:r>
        <w:t>En l'espèce, le recours est recevable pour avoir été interjeté dans le délai utile et en la forme écrite prescrite par la loi. En revanche, le courrier du recourant expédié le 13 décembre 2019 et ses annexes est postérieur à l'échéance du délai de recours, de sorte que celui-ci est irrecevable.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ses pièces nouvelles n os</w:t>
      </w:r>
    </w:p>
    <w:p>
      <w:r>
        <w:rPr>
          <w:b/>
        </w:rPr>
        <w:t>E. 5</w:t>
      </w:r>
    </w:p>
    <w:p>
      <w:r>
        <w:t>et 6 sus évoquées ne seront pas pris en considération. 3. Le recourant reproche au Vice-président du Tribunal d'avoir limité l'octroi de l'assistance juridique à 8h00 d'avocat de manière largement insuffisante et sans aucune motivation. Il soutient que la préparation et la rédaction du mémoire d'appel a nécessité 35 heures de travail, en particulier parce qu'il a corrigé de nombreux faits inexactement retenus par le Tribunal, qu'il a invoqué des faits nouveaux et que la Cour " a ordonné un second échange d'écritures ". Il explique qu'en raison du bref délai pour former appel à l'encontre du jugement sur mesures protectrices de l'union conjugale, il n'a pu solliciter l'assistance juridique avant le 17 octobre 2019 et demande un octroi rétroactif au 7 octobre 2019, date à laquelle il a commencé son activité y relative. 3.1. 3.1.1 Le Tribunal fédéral a déduit du droit d'être entendu, consacré à l'art. 29 al. 2 Cst., le devoir pour l'autorité de motiver sa décision, afin que le justiciable puisse en saisir la portée et, le cas échéant, l'attaquer en connaissance de cause (ATF 141 IV 249 consid.  1.3.1; 138 IV 81 consid. 2.2).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(ATF 138 I 232 consid. 5.1; arrêts du Tribunal fédéral 5A_258/2018 du 20 août 2018 consid. 4.1 et 5A_446/2017 du 27 juin 2017 consid. 4.1). Le droit d'être entendu n'est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5A_258/2018 du 20 août 2018 consid. 4.1 et les références citées). 3.1.2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 ème éd., 2016, n. 17 ad art. 118 CPC), soit en quelque sorte " à la carte " (Ruegg, in Basler Kommentar, Schweizerische Zivilprozessordnung, Spühler/ Tenchio/Infanger, 2 ème éd., 2013, n. 2 ad art. 118 CPC). L'octroi partiel peut ainsi prendre diverses formes, selon les prestations accordées, l'étendue de celles-ci ou encore la phase de procès concernée (Tappy, CR CPC, 2 ème éd. 2019,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3.1.3 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(arrêts du Tribunal fédéral (ATF 122 I 203 consid. 2 c-g, in JdT 1997 I 604, 5A_849/2014 du 30 mars 2015 consid. 4.5 et 5A_181/2012 du 27 juin 2012 consid. 2.3.3). 3.2 En l'espèce, le recourant a formé appel le 17 octobre 2019 et a requis l'assistance juridique à cette date également, de sorte qu'en application de l'art. 5 al. 1 RAJ, cet octroi a pris effet avec raison à cette date et inclut les prestations effectuées par l'avocat pour la rédaction de l'appel. Par conséquent, un effet rétroactif au 7 octobre 2019 n'est pas nécessaire. Le Vice-président du Tribunal civil n'a pas expliqué les raisons pour lesquelles il avait limité l'octroi de l'assistance juridique à 8h00 d'avocat, et une brève motivation aurait été nécessaire sous l'angle du respect du droit d'être entendu du recourant. Cela étant, le renvoi de la cause en première instance pour ce motif ne se justifie pas et constituerait une vaine formalité. En effet, il ressort de la décision du 29 janvier 2019 que le recourant a obtenu l'assistance juridique pour 10h00 d'avocat en première instance, décision qu'il n'a pas contestée, de sorte qu'il ne pouvait pas s'attendre en appel à ce que cet octroi soit aussi important, puisque selon l'appel du 17 octobre 2019, le litige est circonscrit à la question des contributions d'entretien due aux enfants et éventuellement au recourant, les autres points du litige n'ayant pas été remis en cause (attribution du domicile conjugal, garde des enfants, droit de visite et curatelle). Dans ces conditions, l'octroi de 8h00 d'avocat paraît suffisant, à tout le moins pour la rédaction et le dépôt d'un acte d'appel, étant rappelé que le conseil désigné connaissait le dossier. Le recourant avait par ailleurs la possibilité de solliciter en temps utile une extension de l'assistance juridique s'il estimait que le dépôt d'une réplique s'imposait. Pour le surplus, le recourant n'a pas contesté dans son recours le calcul du minimum vital effectué par le Vice-président du Tribunal, de sorte qu'il n'y a pas lieu d'y revenir. Il convient toutefois de préciser que le recourant devra informer au plus vite le Vice-président du Tribunal de son obligation de s'acquitter nouvellement de sa prime d'assurance-maladie afin qu'il réexamine le cas échéant sa décision relative au montant de la mensualité de remboursement de l'assistance juridique. Compte tenu de l'ensemble de ce qui précède,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20 novembre 2019 par le Vice-président du Tribunal civil dans la cause AC/329/2019. Au fond : Le rejette. Déboute A______ de toutes autres conclusions. Dit qu'il n'est pas perçu de frais judiciaires pour le recours, ni alloué de dépens. Notifie une copie de la présente décision à A______ en l'Étude de M e H______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