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AC/3276/2016 vom 4. Juli 2024</w:t>
      </w:r>
    </w:p>
    <w:p>
      <w:r>
        <w:t>GE Cour de justice, 2024-07-04, FR</w:t>
      </w:r>
    </w:p>
    <w:p>
      <w:r>
        <w:rPr>
          <w:b/>
        </w:rPr>
        <w:t xml:space="preserve">Quelle: </w:t>
      </w:r>
      <w:r>
        <w:t>https://mcp.opencaselaw.ch/entscheid/ge_gerichte_AC_3276_2016</w:t>
      </w:r>
    </w:p>
    <w:p>
      <w:r>
        <w:t>FR: GE_GERICHTE AC/3276/2016 du 4 juillet 2024</w:t>
      </w:r>
    </w:p>
    <w:p>
      <w:r>
        <w:t>IT: GE_GERICHTE AC/3276/2016 del 4 luglio 2024</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présidence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w:t>
      </w:r>
    </w:p>
    <w:p>
      <w:r>
        <w:t>3.1.1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3.1.2 La créance en remboursement de l'Etat est une prétention de droit public (ATF 138 II 506 consid. 1) qui naît au moment de la réalisation de la condition suspensive de l'aptitude à rembourser (arrêt du Tribunal fédéral 2C_195/2016 du 26 septembre 2016 consid. 2.2.3). Pour pouvoir faire l'objet d'une procédure d'exécution forcée, elle doit être constatée par une décision rendue par l'autorité compétente selon le droit cantonal (soit à Genève le Président du Tribunal civil [art. 1 al. 1 RAJ]) au terme d'une procédure dans laquelle le bénéficiaire de l'assistance judiciaire aura eu la possibilité de faire valoir son droit d'être entendu (arrêt du Tribunal fédéral 2C_350/2017 du 7 décembre 2017 consid. 6.3; Colombini, in Petit Commentaire CPC, 2020, N 11 ad art. 123 CPC). Aux fins de permettre à l'autorité compétente d'examiner la réalisation de la condition suspensive de l'aptitude à rembourser, la personne bénéficiaire de l'assistance judiciaire est tenue de collaborer à la détermination de sa (nouvelle) situation financière en fournissant à ladite autorité, à sa demande, toutes les informations et pièces utiles, son obligation à cet égard ayant la même portée que dans la procédure d'octroi de l'assistance judiciaire (Huber, DIKE-Komm-ZPO, N 6 ad art. 123 CPC; Wuffli/Fuhrer, Handbuch unentgeltliche Rechtspflege im Zivilprozess, 2019, p. 369 n° 1061). En cas de violation de cette obligation de collaborer, l'autorité pourra sans arbitraire admettre que la situation financière du bénéficiaire s'est améliorée, et donc que la condition suspensive de l'aptitude à rembourser est réalisée (Colombini, op. cit., N 11 ad art. 123 CPC; Huber, op. cit., N 6 ad art. 123 CPC; Wuffli/Fuhrer, op. cit., p. 369 n° 1061; Bühler, in BK ZPO, Band I, N 39 ad art. 123 CPC).</w:t>
      </w:r>
    </w:p>
    <w:p>
      <w:r>
        <w:rPr>
          <w:b/>
        </w:rPr>
        <w:t>E. 3.2</w:t>
      </w:r>
    </w:p>
    <w:p>
      <w:r>
        <w:t>En l'espèce, la recourante a eu l'occasion de justifier de sa situation financière avant que la décision litigieuse ne soit prononcée à son encontre. Or, elle n'a donné aucune suite au courrier du 27 mai 2024, qui lui accordait un délai supplémentaire pour fournir la liste des documents requis, étant précisé que ledit courrier précisait qu'en l'absence de réponse, il serait retenu que sa situation financière s'était améliorée. Dès lors, le premier juge pouvait, sans commettre d'arbitraire, considérer que la situation financière de la recourante s'était améliorée et lui demander de rembourser l'intégralité des prestations de l'État. La recourante fait valoir qu'en raison de son âge élevé c'était sa fille qui s'occupait de son administration et que celle-ci était absente du 6 au 16 juillet 2024 raison pour laquelle elle n'avait pas encore envoyé les documents requis. Or, le premier délai pour fournir les documents avait été fixé au 26 mai 2024 et le second au 16 juin 2024, de sorte qu'elle n'explique pas pourquoi elle n'a pas été en mesure de produire les documents qu'elle a annexés à son recours dans les délais que le premier juge lui avait imparti, étant relevé que la recourante a bénéficié d'un délai total de plus d'un mois (7 mai – 16 juin) pour fournir les documents requis.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A la forme : Déclare recevable le recours formé le 18 juillet 2024 par A______ contre la décision rendue le 4 juillet 2024 par la vice-présidence du Tribunal civil dans la cause AC/3276/2016.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