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AC/3270/2017 vom 9. September 2019</w:t>
      </w:r>
    </w:p>
    <w:p>
      <w:r>
        <w:t>GE Cour de justice, 2019-09-09, FR</w:t>
      </w:r>
    </w:p>
    <w:p>
      <w:r>
        <w:rPr>
          <w:b/>
        </w:rPr>
        <w:t xml:space="preserve">Quelle: </w:t>
      </w:r>
      <w:r>
        <w:t>https://mcp.opencaselaw.ch/entscheid/ge_gerichte_AC_3270_2017</w:t>
      </w:r>
    </w:p>
    <w:p>
      <w:r>
        <w:t>FR: GE_GERICHTE AC/3270/2017 du 9 septembre 2019</w:t>
      </w:r>
    </w:p>
    <w:p>
      <w:r>
        <w:t>IT: GE_GERICHTE AC/3270/2017 del 9 settembre 2019</w:t>
      </w:r>
    </w:p>
    <w:p>
      <w:pPr>
        <w:pStyle w:val="Heading2"/>
      </w:pPr>
      <w:r>
        <w:t>Erwägungen</w:t>
      </w:r>
    </w:p>
    <w:p>
      <w:r>
        <w:rPr>
          <w:b/>
        </w:rPr>
        <w:t>E. 1.1</w:t>
      </w:r>
    </w:p>
    <w:p>
      <w:r>
        <w:t>La décision entreprise est sujette à recours auprès de la présidente de la Cour de justice en tant qu'elle refuse un changement d'avocat (art. 14 RAJ,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 et les preuves nouvelles sont irrecevables dans le cadre d'un recours. Par conséquent, les allégués de fait dont le recourant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La fourniture d'un conseil juridique rémunéré par l'Etat suppose la réalisation de trois conditions : une cause non dénuée de chances de succès, l'indigence et la nécessité de l'assistance par un professionnel (ATF 141 III 560 consid. 3.2.1). Le conseil juridique commis d'office n'exerce pas un mandat privé, mais accomplit une tâche de droit public.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ainsi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 qui est tenu d'accepter le mandat d'assistance - est seul compétent pour le délier de cette fonction et décide de sa rémunération. Le mandat d'office ne consiste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Dans le cadre de l'assistance judiciaire, il n'existe pas un droit au libre choix de son mandataire (ATF 139 IV 113 consid. 1.1; 135 I 261 consid. 1.2; 125 I 161 consid. 3b; 114 Ia 101 consid. 3; arrêts du Tribunal fédéral 4A_106/2017 du 4 juillet 2017 consid. 3.2; 5A_63/2010 du 29 mars 2010; 2D_144/2008 du 23 mars 2009 consid. 5.1) et les requêtes de changement d'avocat d'office (cf. en droit genevois l'art. 14 RAJ) ne sont admises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114 Ia 101 consid. 2; arrêt du Tribunal fédéral 5A_643/2010 du 11 janvier 2011 consid. 4.3; arrêt du Tribunal fédéral 6S.103/2003 du 2 avril 2004 consid. 2.1). Le défenseur d'office n'est pas tenu d'épouser n'importe quel point de vue de son client et de plaider l'insoutenable (ATF 114 Ia 101 , consid. 3). Le simple fait que le client n'a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Un changement d'avocat ne doit ainsi être ordonné que s'il apparaît, pour des motifs objectifs, qu'une représentation efficace des intérêts de l'ayant droit n'est plus garantie par l'avocat désigné d'office (Corboz, Le droit constitutionnel à l'assistance judiciaire, in SJ 2003 II 67, p. 84).</w:t>
      </w:r>
    </w:p>
    <w:p>
      <w:r>
        <w:rPr>
          <w:b/>
        </w:rPr>
        <w:t>E. 3.2</w:t>
      </w:r>
    </w:p>
    <w:p>
      <w:r>
        <w:t>En l'espèce, il n'apparaît pas, à teneur des éléments figurant au dossier, que Me B______ ait défendu de manière inadéquate les intérêts de son mandant. C'est à juste titre que le premier juge a considéré que l'avocat n'avait pas à représenter le recourant s'agissant des problèmes dans l'exercice du droit de garde, ce dernier n'étant au demeurant pas remis en question devant les autorités judiciaires. Par ailleurs, les griefs soulevés par le recourant - manque de soutien, sentiment d'inconfort et manque de confiance - n'ont été aucunement développés devant l'autorité de première instance. Fautes d'éléments objectifs permettant de retenir que le conseil a failli à ses obligations, c'est à juste titre que le premier juge a, au vu des éléments portés à sa connaissance, refusé le changement d'avocat sollicité au motif que les conditions posées par l'art. 14 RAJ n'étaient pas réalisées. Les nouvelles allégations formées par le recourant étant irrecevables (cf. supra ch. 2), il ne peut en être tenu compte. Partant, le recours, infondé, sera rejeté.</w:t>
      </w:r>
    </w:p>
    <w:p>
      <w:r>
        <w:rPr>
          <w:b/>
        </w:rPr>
        <w:t>E. 4</w:t>
      </w:r>
    </w:p>
    <w:p>
      <w:r>
        <w:t>Sauf exceptions non réalisées en l'espèce, il n'est pas perçu de frais judiciaires pour la procédure d'assistance juridique (art. 119 al. 6 CPC). PAR CES MOTIFS, LE VICE-PRÉSIDENT DE LA COUR : A la forme : Déclare recevable le recours formé le 19 septembre 2019 par A______ contre la décision rendue le 9 septembre 2019 par le Vice-président du Tribunal civil dans la cause AC/3270/2017. Au fond : Le rejette. Déboute A______ de toutes autres conclusions. Dit qu'il n'est pas perçu de frais judiciaires pour le recours. Notifie une copie de la présente décision à A______ (art. 327 al. 5 CPC et 8 al. 3 RAJ). Notifie une copie de la présente décision à Me B______.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