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AC/3234/2016 vom 23. November 2016</w:t>
      </w:r>
    </w:p>
    <w:p>
      <w:r>
        <w:t>GE Cour de justice, 2016-11-23, FR</w:t>
      </w:r>
    </w:p>
    <w:p>
      <w:r>
        <w:rPr>
          <w:b/>
        </w:rPr>
        <w:t xml:space="preserve">Quelle: </w:t>
      </w:r>
      <w:r>
        <w:t>https://mcp.opencaselaw.ch/entscheid/ge_gerichte_AC_3234_2016</w:t>
      </w:r>
    </w:p>
    <w:p>
      <w:r>
        <w:t>FR: GE_GERICHTE AC/3234/2016 du 23 novembre 2016</w:t>
      </w:r>
    </w:p>
    <w:p>
      <w:r>
        <w:t>IT: GE_GERICHTE AC/3234/2016 del 23 novembre 2016</w:t>
      </w:r>
    </w:p>
    <w:p>
      <w:pPr>
        <w:pStyle w:val="Heading2"/>
      </w:pPr>
      <w:r>
        <w:t>Regeste</w:t>
      </w:r>
    </w:p>
    <w:p>
      <w:r>
        <w:t>CHANCES DE SUCCÈS ; DEMANDE ADRESSÉE À L'AUTORITÉ ; RÉVISION(DÉCISION) ; RENTE D'INVALIDITÉ</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En vertu de l'art. 53 al. 1 Loi fédérale sur la partie générale du droit des assurances sociales (LPGA), les décisions et les décisions sur opposition formellement passées en force sont soumises à révision si l'assuré ou l'assureur découvre des faits nouveaux importants ou trouve des nouveaux moyens de preuve qui ne pouvaient pas être produits auparavant. Ne sont considérés comme nouveaux que les faits antérieurs à la première décision, qui étaient toutefois demeurés inconnus ou n'avaient pas été prouvés sans qu'aucune faute ne fût imputable à l'intéressé (arrêt du Tribunal fédéral 8C_720/2009 du 15 février 2010). La demande de révision doit être adressée dans les 90 jours qui suivent la découverte du motif de révision, mais au plus tard 10 ans après la notification de la décision sur recours (art. 67 al. 1 Loi fédérale sur la procédure administrative en relation avec l'art. 55 al. 1 LPGA). 2.2.2. Les prestations d'assurance sont également versées en cas de rechutes et de séquelles tardives (art. 11 Ordonnance sur l'assurance-accidents, OLAA). Les rechutes et les séquelles tardives ont ceci en commun qu'elles sont attribuables à une atteinte à la santé qui, en apparence seulement, mais non dans les faits, était considérée comme guérie, étant précisé qu'il y a rechute lorsque c'est la même atteinte qui se manifeste à nouveau, tandis qu'on parle de séquelles tardives lorsqu'une atteinte apparemment guérie produit, au cours d'un laps de temps prolongé, des modifications organiques ou psychiques qui conduisent souvent à un état pathologique différent (ATF 123 V 137 ).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(arrêt du Tribunal fédéral U 211/05 du 11 avril 2006 consid. 2).</w:t>
      </w:r>
    </w:p>
    <w:p>
      <w:r>
        <w:rPr>
          <w:b/>
        </w:rPr>
        <w:t>E. 2.3</w:t>
      </w:r>
    </w:p>
    <w:p>
      <w:r>
        <w:t>En l'espèce, le recourant semble avoir largement dépassé le délai pour invoquer la découverte du motif de révision, puisque les rapports médicaux sur lesquels il fonde sa requête du 25 avril 2013 datent du mois d'octobre 2012 et qu'il paraît peu vraisemblable qu'il n'en ait eu connaissance qu'à la fin du mois de janvier 2013. Dans tous les cas, il s'agit d'une simple allégation que le recourant ne paraît pas en mesure de prouver. Pour le surplus, le recourant semble admettre lui-même dans son recours que les chances de succès de sa demande de révision sont discutables. Par ailleurs, il y a lieu de relever que l'art. 17 al. 1 LPGA invoqué par le recourant n'entre pas en ligne de compte, puisque cette disposition règle la modification du taux d'invalidité des bénéficiaires de rentes et que l'intéressé n'a pas été mis au bénéfice d'une rente par la SUVA. Cela étant, sous l'ange de l'art. 11 OLAA, la cause du recourant ne paraît pas dépourvue de toute chance de succès. En effet, à teneur des éléments figurant au dossier (et contrairement à ce qu'a retenu la SUVA dans la décision du 23 septembre 2016), la présence d'une hernie discale a été évoquée pour la première fois en novembre 2005, soit après que la SUVA ait rendu la décision sur opposition du 8 septembre 2005 mettant fin aux prestations versées en faveur du recourant. Prima facie, il ne paraît pas exclu que les atteintes à l'état de santé du recourant constatées au cours de ces dernières années puissent être considérées comme des rechutes ou des séquelles tardives en lien avec son accident de 2004 et donnant droit à des prestations de l'assurance. C'est donc à tort que le Vice-président du Tribunal civil a refusé d'octroyer l'assistance juridique au recourant au motif que sa cause était dénuée de chances de succès. La décision querellée sera donc annulée et la cause renvoyée à l'autorité de première instance pour examen de la condition d'indigence et nouvelle décision.</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23 novembre 2016 par le Vice-président du Tribunal civil dans la cause AC/3234/2016. Au fond : Annule la décision entreprise. Cela fait et statuant à nouveau : Renvoie la cause au Vice-président du Tribunal civil pour instruction complémentaire et nouvelle décision. Déboute A______ de toutes autres conclusions. Dit qu'il n'est pas perçu de frais judiciaires pour le recours. Notifie une copie de la présente décision à A______ en l'Étude de M e Jacques EMERY (art. 137 CPC). Siégeant : Monsieur Patrick CHENAUX, vice-président;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