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AC/318/2015 vom 6. Januar 2016</w:t>
      </w:r>
    </w:p>
    <w:p>
      <w:r>
        <w:t>GE Cour de justice, 2016-01-06, FR</w:t>
      </w:r>
    </w:p>
    <w:p>
      <w:r>
        <w:rPr>
          <w:b/>
        </w:rPr>
        <w:t xml:space="preserve">Quelle: </w:t>
      </w:r>
      <w:r>
        <w:t>https://mcp.opencaselaw.ch/entscheid/ge_gerichte_AC_318_2015</w:t>
      </w:r>
    </w:p>
    <w:p>
      <w:r>
        <w:t>FR: GE_GERICHTE AC/318/2015 du 6 janvier 2016</w:t>
      </w:r>
    </w:p>
    <w:p>
      <w:r>
        <w:t>IT: GE_GERICHTE AC/318/2015 del 6 gennaio 2016</w:t>
      </w:r>
    </w:p>
    <w:p>
      <w:pPr>
        <w:pStyle w:val="Heading2"/>
      </w:pPr>
      <w:r>
        <w:t>Regeste</w:t>
      </w:r>
    </w:p>
    <w:p>
      <w:r>
        <w:t>CHANCES DE SUCCÈS; AUTORITÉ PARENTALE</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Les allégations de faits et les preuves nouvelles sont irrecevables dans le cadre d'un recours (art. 326 al. 1 CPC).![endif]&gt;![if&gt; Par conséquent, la pièce nouvelle ainsi que les allégués de faits nouveaux ne seront pas pris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 er décembre 2008 consid. 4.2).</w:t>
      </w:r>
    </w:p>
    <w:p>
      <w:r>
        <w:rPr>
          <w:b/>
        </w:rPr>
        <w:t>E. 3.2</w:t>
      </w:r>
    </w:p>
    <w:p>
      <w:r>
        <w:t>L'enfant est soumis, pendant sa minorité, à l'autorité parentale conjointe de ses père et mère (art. 296 al. 2 CC, entré en vigueur le 1er juillet 2014). Si lors de l'entrée en vigueur de cette modification, l'autorité parentale n'appartient qu'à l'un des parents, l'autre parent peut, dans le délai d'une année à compter de l'entrée en vigueur du nouveau droit, s'adresser à l'autorité de protection de l'enfant du lieu de domicile de l'enfant pour lui demander de prononcer l'autorité parentale conjointe (art. 12 al. 4 Tfin. CC). L'autorité de protection institue l'autorité parentale conjointe, à moins que le bien de l'enfant ne commande que la mère reste seule détentrice de l'autorité parentale ou que cette dernière soit attribuée exclusivement au père (art. 298b al. 2 CC, applicable par analogie selon l'art. 12 al. 4 in fine Tfin. CC). Ces dispositions instaurent le principe selon lequel l'autorité parentale conjointe constitue désormais la règle. Seules des circonstances importantes pour le bien de l'enfant permettent de s'en écarter (Message concernant la modification du CC du 16 novembre 2011, in FF 2011 8315, pp. 8339 et 8340). L'attribution exclusive de l'autorité parentale en vertu des art. 298 ss CC n'obéit pas aux conditions du retrait de l'autorité parentale au sens de l'art. 311 CC. Ainsi peuvent commander une attribution exclusive de l'autorité parentale un conflit parental important ou une incapacité durable à communiquer, si ceux-ci ont un impact négatif sur le bien de l'enfant et que cette mesure est susceptible d'améliorer la situation. L'autorité parentale conjointe est dénuée de sens lorsque la collaboration entre les parents n'est pas possible et il n'est pas dans l'intérêt supérieur de l'enfant qu'un juge ou une autorité de protection doivent constamment trancher les désaccords entre ses parents. Le maintien purement formel de l'autorité parentale pour le bien de l'enfant n'a alors aucun sens et ne serait conforme ni à l'intérêt de l'enfant, ni aux délibérations parlementaires. Cependant, pour justifier une attribution exclusive de l'autorité parentale, il est nécessaire que le conflit ou les difficultés de communication entre les parents atteignent une certaine intensité et une certaine chronicité. Des désaccords ponctuels ou des points de vue différents, qui surviennent dans toutes les familles, surtout au moment d'une séparation ou d'un divorce, ne sont pas suffisants pour justifier l'attribution exclusive de l'autorité parentale. En présence d'un conflit parental grave, il faut encore examiner sous l'angle de la subsidiarité si une attribution judiciaire exclusive de certaines prérogatives de l'autorité parentale (par exemple en matière scolaire ou religieuse, ou à propos de la détermination de la résidence) est suffisante pour résoudre le conflit. L'attribution exclusive de l'autorité parentale doit rester une exception strictement délimitée (arrêt du Tribunal fédéral 5A_923/2014 du 27 août 2015, destiné à la publication, consid. 4.6 et 4.7; Helle, Vers une prime au conflit parental? Analyse de l'arrêt du Tribunal fédéral 5A_923/2014 , Newsletter DroitMatrimonial.ch octobre 2015).</w:t>
      </w:r>
    </w:p>
    <w:p>
      <w:r>
        <w:rPr>
          <w:b/>
        </w:rPr>
        <w:t>E. 3.3</w:t>
      </w:r>
    </w:p>
    <w:p>
      <w:r>
        <w:t>En l'espèce, comme l'a retenu à juste titre le Vice-président du Tribunal civil, aucun élément du dossier ne permet a priori de considérer que le conflit parental serait aigu au point qu'il serait contraire à l'intérêt des enfants que l'autorité parentale soit exercée en commun. Les affirmations contraires de la recourante sur ce point, notamment les violences verbales alléguées, sont d'ailleurs contredites par le rapport du SPMi. Au demeurant, les parents se sont engagés à initier une médiation, de sorte qu'il semble envisageable que le conflit, encore actuel selon la recourante, puisse s'atténuer à l'avenir. Le fait que la recourante déclare désormais, dans le cadre du présent recours, ne plus être d'accord avec la mise en place d'une telle médiation n'est pas susceptible de remettre en cause les considérations qui précèdent, la situation devant être appréciée au jour du dépôt de la requête. Par ailleurs, dans son recours devant la Chambre de surveillance de la Cour de justice, la recourante n'a pas allégué que le père des enfants aurait concrètement compromis la prise en charge nécessaire au bon développement de ces derniers, par exemple en tentant de la bloquer sur des questions concernant les enfants en matière médicale. En tout état, le fait que le dialogue entre les parents s'avère difficile et tendu ne semble au premier abord pas constituer un motif suffisant pour que le père ne demeure pas impliqué dans l'éducation de ses enfants. Pour le surplus, la curatelle de surveillance du droit de visite a justement été instaurée pour aider la recourante et le père des enfants à aplanir leurs différends et à limiter les tensions. Enfin, le fait que le père des enfants ait déposé sa demande devant le TPAE huit mois après l'entrée en vigueur du nouveau droit est dénué de pertinence. Compte tenu de ce qui précède, c'est à bon droit que le Vice-président du Tribunal civil a refusé d'octroyer l'assistance juridique à la recourante au motif que son recours contre le jugement du TPAE semblait dénué de chances de succès. Partant, le présent recours, infondé, sera rejeté.</w:t>
      </w:r>
    </w:p>
    <w:p>
      <w:r>
        <w:rPr>
          <w:b/>
        </w:rPr>
        <w:t>E. 4</w:t>
      </w:r>
    </w:p>
    <w:p>
      <w:r>
        <w:t>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6 janvier 2016 par le Vice-président du Tribunal civil dans la cause AC/318/2015. Au fond : Le rejette. Déboute A______ de toutes autres conclusions. Dit qu'il n'est pas perçu de frais judiciaires pour le recours. Notifie une copie de la présente décision à A______ en l'Étude de M e Mélanie MATHYS DONZE (art. 137 CPC).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