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AC/3179/2018 vom 13. November 2018</w:t>
      </w:r>
    </w:p>
    <w:p>
      <w:r>
        <w:t>GE Cour de justice, 2018-11-13, FR</w:t>
      </w:r>
    </w:p>
    <w:p>
      <w:r>
        <w:rPr>
          <w:b/>
        </w:rPr>
        <w:t xml:space="preserve">Quelle: </w:t>
      </w:r>
      <w:r>
        <w:t>https://mcp.opencaselaw.ch/entscheid/ge_gerichte_AC_3179_2018</w:t>
      </w:r>
    </w:p>
    <w:p>
      <w:r>
        <w:t>FR: GE_GERICHTE AC/3179/2018 du 13 novembre 2018</w:t>
      </w:r>
    </w:p>
    <w:p>
      <w:r>
        <w:t>IT: GE_GERICHTE AC/3179/2018 del 13 novembre 2018</w:t>
      </w:r>
    </w:p>
    <w:p>
      <w:pPr>
        <w:pStyle w:val="Heading2"/>
      </w:pPr>
      <w:r>
        <w:t>Regeste</w:t>
      </w:r>
    </w:p>
    <w:p>
      <w:r>
        <w:t>CHANCES DE SUCCÈS ; INSCRIPTION; REGISTRE DU COMMERCE</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bien que le recourant n'ait pas pris de conclusions formelles en ce sens, l'on comprend qu'il sollicite l'annulation de la décision entreprise et le bénéfice de l'assistance juridique. Par conséquent,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Les décisions du Registre du commerce peuvent faire l'objet d'un recours auprès de l'autorité de surveillance dudit registre, qui, dans le canton de Genève, est la Chambre de surveillance de la Cour de justice (art. 4 al. 3 et 165 al. 1 et 4 ORC; 126 al. 1 let. d LOJ). Ont qualité pour recourir les personnes et les entités juridiques dont la réquisition a été rejetée ou qui sont directement visées par une inscription d'office (art. 165 al. 3 ORC). Le recours doit être formé par écrit et contenir la désignation de la décision attaquée, l'exposé des motifs, l'indication des moyens de preuve et les conclusions du recourant (art. art. 64 et 65 LPA). Les pièces dont dispose celui-ci doivent être jointes. L'autorité est liée par les conclusions des parties (art. 69 al. 1 LPA). Le délai de recours est de trente jours et court dès le lendemain de la notification de la décision (art. 62 al. 3 LPA; art. 17 al. 1 LPA).</w:t>
      </w:r>
    </w:p>
    <w:p>
      <w:r>
        <w:rPr>
          <w:b/>
        </w:rPr>
        <w:t>E. 2.1.3</w:t>
      </w:r>
    </w:p>
    <w:p>
      <w:r>
        <w:t>Le préposé a le devoir de vérifier le respect des dispositions impératives de la loi qui sont édictées dans l'intérêt public ou en vue de la protection de tiers. Dans l'hypothèse où le contrôle du préposé s'est avéré déficient, soit lorsqu'une inscription manifestement contraire au droit a été introduite au Registre du commerce, l'autorité de surveillance peut être saisie. Le défaut doit alors être pris en considération d'office, dès qu'il est détecté et ce même si le délai pour attaquer la décision du préposé est expiré (arrêt du Tribunal fédéral 4A_1/2000 du 16 novembre 2000 consid. 3). La voie de la dénonciation peut être utilisée notamment pour porter à la connaissance de l’autorité de surveillance un vice de l’inscription que celle-ci doit relever d’office et en tout temps, tel qu’une violation des règles sur la tenue du registre. La dénonciation est un moyen non juridictionnel subsidiaire : l’autorité saisie n’entre pas en matière si un moyen juridictionnel est ouvert contre le comportement incriminé. Le dénonciateur n’a aucun droit de partie, il ne peut exiger que l’autorité de surveillance entre en matière, rende une décision motivée et la notifie, il ne peut pas d’avantage recourir contre la décision de ne pas entrer en matière sur sa plainte ou de la rejeter (Vianin, Commentaire Romand, CO II, 2008, n. 54 ad art. 940 CO).</w:t>
      </w:r>
    </w:p>
    <w:p>
      <w:r>
        <w:rPr>
          <w:b/>
        </w:rPr>
        <w:t>E. 2.2</w:t>
      </w:r>
    </w:p>
    <w:p>
      <w:r>
        <w:t>En l'espèce, la Chambre de surveillance a considéré que la «plainte» du recourant constituait un recours contre la décision de radiation effectuée en novembre 2016 et non pas une simple dénonciation, à défaut de quoi elle n’aurait pas sollicité de sa part le versement d’une avance de frais. Pour le surplus, le recourant ne critique, à juste titre, pas la décision du premier juge en tant qu’elle considère comme vraisemblablement tardif le recours qu’il a formé en septembre 2018 contre une décision qui lui a été notifiée au plus tard en janvier 2017. Partant, c'est avec raison que le Vice-président a refusé d'accorder l'assistance juridique au recourant pour la procédure en cause. Infondé, le recours sera dès lors rejeté.</w:t>
      </w:r>
    </w:p>
    <w:p>
      <w:r>
        <w:rPr>
          <w:b/>
        </w:rPr>
        <w:t>E. 3</w:t>
      </w:r>
    </w:p>
    <w:p>
      <w:r>
        <w:t>Sauf exceptions non réalisées en l'espèce, il n'est pas perçu de frais judiciaires pour la procédure d'assistance juridique (art. 119 al. 6 CPC). ![endif]&gt;![if&gt; * * * * * PAR CES MOTIFS, LE VICE-PRESIDENT DE LA COUR : A la forme : Déclare recevable le recours formé le 26 novembre 2018 par A______ contre la décision rendue le 13 novembre 2018 par le Vice-président du Tribunal civil dans la cause AC/3179/2018.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