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AC/3164/2018 vom 3. Januar 2019</w:t>
      </w:r>
    </w:p>
    <w:p>
      <w:r>
        <w:t>GE Cour de justice, 2019-01-03, FR</w:t>
      </w:r>
    </w:p>
    <w:p>
      <w:r>
        <w:rPr>
          <w:b/>
        </w:rPr>
        <w:t xml:space="preserve">Quelle: </w:t>
      </w:r>
      <w:r>
        <w:t>https://mcp.opencaselaw.ch/entscheid/ge_gerichte_AC_3164_2018</w:t>
      </w:r>
    </w:p>
    <w:p>
      <w:r>
        <w:t>FR: GE_GERICHTE AC/3164/2018 du 3 janvier 2019</w:t>
      </w:r>
    </w:p>
    <w:p>
      <w:r>
        <w:t>IT: GE_GERICHTE AC/3164/2018 del 3 gennaio 2019</w:t>
      </w:r>
    </w:p>
    <w:p>
      <w:pPr>
        <w:pStyle w:val="Heading2"/>
      </w:pPr>
      <w:r>
        <w:t>Regeste</w:t>
      </w:r>
    </w:p>
    <w:p>
      <w:r>
        <w:t>DÉNUEMENT</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Il appartient au justiciable sollicitant l'aide de l'Etat d'adapter son train de vie aux moyens financiers dont il dispose en donnant priorité aux dépenses relevant du strict minimum vital (arrêt du Tribunal fédéral 1B_428/2010 du 2 février 2011 consid. 4).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w:t>
      </w:r>
    </w:p>
    <w:p>
      <w:r>
        <w:rPr>
          <w:b/>
        </w:rPr>
        <w:t>E. 3.2</w:t>
      </w:r>
    </w:p>
    <w:p>
      <w:r>
        <w:t>En l'espèce, les allégués nouveaux de la recourante relatifs à la résiliation de son bail à Genève et au fait que sa fille ne fréquente désormais plus l'accueil périscolaire ne seront pas pris en considération, puisqu'ils sont irrecevables dans le cadre d'une procédure de recours (cf. ch. 2 ci-dessus). Il en va de même de l'allégué selon lequel la résiliation du contrat de la nounou impliquerait qu'elle lui paie des indemnités de licenciement plus élevées que l'avance de frais requise pour la procédure devant la Chambre administrative de la Cour de justice. La recourante fait par ailleurs valoir qu'elle ne peut ni mettre ses parents «à la porte» compte tenu du «bail de location» ( recte : contrat de prêt gratuit du logement) qui les lie, ni vendre sans délais la maison qu'ils occupent. Cela étant, elle n'a produit aucun document pour prouver ses dires, pas même le contrat prétendument signé avec ses parents. Quoi qu'il en soit, il est incontestable que la propriété de deux maisons est incompatible avec la notion d'indigence. L'analyse du premier juge sur ce point - ainsi que concernant les charges superflues de la recourante - doit d'ailleurs être confirmée par adoption de motifs. C'est donc à juste titre que le Vice-président du Tribunal civil a refusé d'octroyer le bénéfice de l'assistance juridique à la recourante au motif que l'une des conditions prévues par la loi n'était pas remplie.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3 janvier 2019 par le Vice-président du Tribunal civil dans la cause AC/3164/2018.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Maïté VALENTE Indication des voies de recours : La présente décision incidente peut être portée dans les trente jours qui suivent sa notification par-devant le Tribunal fédéral par la voie du recours en matière de droit public (art. 82 ss de la loi fédérale sur le Tribunal fédéral du 17 juin 2005 [LTF; RS 173.110] ) si la valeur litigieuse n'est pas inférieure à 15'000 fr. ou par la voie du recours constitutionnel subsidiaire, aux conditions posées par les art. 113 ss LTF, si la valeur litigieuse est inférieure à 15'000 fr.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