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AC/3162/2014 vom 26. Mai 2015</w:t>
      </w:r>
    </w:p>
    <w:p>
      <w:r>
        <w:t>GE Cour de justice, 2015-05-26, FR</w:t>
      </w:r>
    </w:p>
    <w:p>
      <w:r>
        <w:rPr>
          <w:b/>
        </w:rPr>
        <w:t xml:space="preserve">Quelle: </w:t>
      </w:r>
      <w:r>
        <w:t>https://mcp.opencaselaw.ch/entscheid/ge_gerichte_AC_3162_2014</w:t>
      </w:r>
    </w:p>
    <w:p>
      <w:r>
        <w:t>FR: GE_GERICHTE AC/3162/2014 du 26 mai 2015</w:t>
      </w:r>
    </w:p>
    <w:p>
      <w:r>
        <w:t>IT: GE_GERICHTE AC/3162/2014 del 26 maggio 2015</w:t>
      </w:r>
    </w:p>
    <w:p>
      <w:pPr>
        <w:pStyle w:val="Heading2"/>
      </w:pPr>
      <w:r>
        <w:t>Regeste</w:t>
      </w:r>
    </w:p>
    <w:p>
      <w:r>
        <w:t>ASSISTANCE JUDICIAIRE; LIMITATION(EN GÉNÉRAL)</w:t>
      </w:r>
    </w:p>
    <w:p>
      <w:pPr>
        <w:pStyle w:val="Heading2"/>
      </w:pPr>
      <w:r>
        <w:t>Erwägungen</w:t>
      </w:r>
    </w:p>
    <w:p>
      <w:r>
        <w:rPr>
          <w:b/>
        </w:rPr>
        <w:t>E. 1.1</w:t>
      </w:r>
    </w:p>
    <w:p>
      <w:r>
        <w:t>La décision entreprise est sujette à recours auprès du président de la Cour de justice en tant qu'elle refuse l'extension de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Il ne sera pas donné suite à la conclusion préalable de la recourante tendant à son audition par la Cour au motif qu'elle a déjà eu l'occasion d'exprimer sa position tant dans son acte de recours que dans ses déterminations sur les observations de l'autorité précédente, qu'il n'existe pas un droit à être entendu oralement (ATF 125 I 209 consid. 9b, 122 II 464 consid. 4c) et qu'elle n'expose pas les raisons pour lesquelles son audition pourrait être utile à la résolution de la problématique litigieuse. ![endif]&gt;![if&gt;</w:t>
      </w:r>
    </w:p>
    <w:p>
      <w:r>
        <w:rPr>
          <w:b/>
        </w:rPr>
        <w:t>E. 3.1</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 Tappy, 2011, n. 24 ad art. 118 CPC).![endif]&gt;![if&gt;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AC/2657/2011 du 8 novembre 2012 consid. 3.2).</w:t>
      </w:r>
    </w:p>
    <w:p>
      <w:r>
        <w:rPr>
          <w:b/>
        </w:rPr>
        <w:t>E. 3.3</w:t>
      </w:r>
    </w:p>
    <w:p>
      <w:r>
        <w:t>En l'espèce, il y a lieu de préciser, à titre préalable, que le fait que la recourante n'ait pas formé recours contre les décisions du 12 décembre 2014 et du 30 avril 2015 est irrelevant. En effet, les faits à l'origine de la demande d'extension litigieuse - à savoir que les époux ne sont pas parvenus, malgré d'intenses négociations, à se mettre d'accord sur l'ensemble des effets accessoires du divorce - n'étaient pas connus lorsque la première de ces décisions a été rendue. Quant à la seconde décision, elle avait uniquement pour vocation de préciser la prise en charge des frais judiciaires et non de statuer sur la demande d'extension litigieuse. Reste donc à examiner si le refus de l'autorité précédente d'accorder à la recourante plus de 12 heures d'activité d'avocat pour sa défense dans une procédure sur requête commune en divorce avec accord partiel était justifié. Il est acquis que la recourante a établi, en déposant le relevé d'activité intermédiaire de son avocate, que la limite d'heure autorisées a déjà été atteinte. Il faut toutefois encore, pour qu'une suite favorable puisse être donnée à sa demande d'extension, qu'elle démontre que le travail accompli par son conseil était utile et nécessaire à sa défense. A teneur du relevé d'activité précité, son avocate a déjà consacré 3 heures pour des entretiens avec elle-même et son époux et 9 heures pour l'étude des documents, la rédaction d'une requête commune en divorce avec accord complet et la transformation de cette requête en requête commune en divorce avec accord partiel, courriers et entretiens téléphoniques non inclus. Or, si les 3 heures d'entretien sont admissibles, les 9 heures consacrées à l'étude des documents et à la rédaction des actes de procédure apparaissent objectivement excessives. En effet, l'étude des documents et la rédaction d'une requête commune en divorce avec accord complet ne sauraient nécessiter plus de 3 heures de travail lorsque, comme c'est le cas en l'espèce, les époux vivent séparés depuis longtemps, n'ont pas d'enfants communs, ne se réclame pas de contributions d'entretien et ont déjà liquidé leur rapports patrimoniaux au moment de la séparation. Par ailleurs, la transformation d'une requête commune en divorce avec accord complet en requête commune en divorce avec accord partiel ne devait, dans le cas particulier, pas excéder plus de 2 heures de travail dès lors que le seul point qui demeurait litigieux était le partage des avoirs de prévoyance professionnelle et que cet aspect ne présentait pas de difficultés juridiques particulières. Il résulte de ce qui précède que le travail concerné aurait objectivement pu être accompli en 8 heures (3 heures d'entretien et 5 heures d'études des documents et de rédaction), compte tenu de l'absence de difficultés en fait et en droit de la cause. Il subsiste donc un solde de 4 heures pour les autres démarches à accomplir. Or, en l'état du dossier et de l'avancée de la procédure en divorce, ce solde apparaît suffisant pour assurer la défense de la recourante jusqu'au prononcé du jugement au fond. Si tel ne devait pas être le cas, la recourante conservera la possibilité de demander une extension des heures d'activité d'avocat accordées. Au vu de ce qui précède, le recours sera rejeté et la décision entreprise confirmée.</w:t>
      </w:r>
    </w:p>
    <w:p>
      <w:r>
        <w:rPr>
          <w:b/>
        </w:rPr>
        <w:t>E. 4</w:t>
      </w:r>
    </w:p>
    <w:p>
      <w:r>
        <w:t>Sauf exceptions non réalisées en l'espèce, il n'est pas perçu de frais judiciaires pour la procédure d'assistance juridique (art. 119 al. 6 CPC).![endif]&gt;![if&gt; PAR CES MOTIFS, LE VICE-PRÉSIDENT DE LA COUR : A la forme : Déclare recevable le recours formé par A______ contre la décision rendue le 26 mai 2015 par le Vice-président du Tribunal civil dans la cause AC/3162/2014.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