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AC/3158/2023 vom 22. Januar 2024</w:t>
      </w:r>
    </w:p>
    <w:p>
      <w:r>
        <w:t>GE Cour de justice, 2024-01-22, FR</w:t>
      </w:r>
    </w:p>
    <w:p>
      <w:r>
        <w:rPr>
          <w:b/>
        </w:rPr>
        <w:t xml:space="preserve">Quelle: </w:t>
      </w:r>
      <w:r>
        <w:t>https://mcp.opencaselaw.ch/entscheid/ge_gerichte_AC_3158_2023</w:t>
      </w:r>
    </w:p>
    <w:p>
      <w:r>
        <w:t>FR: GE_GERICHTE AC/3158/2023 du 22 janvier 2024</w:t>
      </w:r>
    </w:p>
    <w:p>
      <w:r>
        <w:t>IT: GE_GERICHTE AC/3158/2023 del 22 gennaio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de la loi sur l’organisation judiciaire du 26 septembre 2010 (LOJ - E 2 05) et 10 al. 1 du règlement de la Cour de justice (RSG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(Fabienne Hohl, Procédure civile, tome II, 2 ème éd., n. 2513-2515). Pour satisfaire à son obligation de motiver prévue à l'art. 311 al. 1 CPC [respectivement 321 al. 1 CPC], l'appelant [le recourant (arrêts du Tribunal fédéral 4A_522/2022 du 30 novembre 2022 consid. 6; 4A_153/2022 du 7 avril 2022 consid. 3.2)]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À défaut, l'appel [le recours] est irrecevable (ATF 147 III 176 consid. 4.2.1; arrêts du Tribunal fédéral 5A_647/2023 du 5 mars 2024 consid. 5.2; 5A_524/2023 du 14 décembre 2023 consid. 3.3.1 et les références citées).</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w:t>
      </w:r>
    </w:p>
    <w:p>
      <w:r>
        <w:t>Le recourant sollicite l’annulation de la décision d’assistance juridique du 22 janvier 2024 au motif que celle-ci serait contraire au droit.</w:t>
      </w:r>
    </w:p>
    <w:p>
      <w:r>
        <w:rPr>
          <w:b/>
        </w:rPr>
        <w:t>E. 2.1.1</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 Selon la jurisprudence,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(arrêt du Tribunal fédéral 4A_86/2023 du 20 février 2024 consid. 4). En revanche, l'assistance judiciaire doit être accordée lorsque les chances de succès et les risques d'échec s'équilibrent à peu près, ou que les premières n'apparaissent que légèrement inférieures aux seconds (arrêt du Tribunal fédéral 4A_86/2023 précité consid. 4). La situation doit être appréciée à la date du dépôt de la requête d'assistance judiciaire, sur la base d'un examen sommaire (ATF 142 III 138 consid. 5.1; 139 III 475 consid. 2.2; 138 III 217 consid. 2.2.4; 133 III 614 consid. 5; arrêt du Tribunal fédéral 4A_86/2023 précité consid. 4).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(arrêt du Tribunal fédéral 4A_86/2023 précité consid. 4). L'assistance peut aussi être refusée s'il apparaît d'emblée que la démarche est irrecevable ou que la position du demandeur n'est juridiquement pas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 du Tribunal fédéral 4A_86/2023 précité consid. 4 et les références citées).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w:t>
      </w:r>
    </w:p>
    <w:p>
      <w:r>
        <w:rPr>
          <w:b/>
        </w:rPr>
        <w:t>E. 2.1.2</w:t>
      </w:r>
    </w:p>
    <w:p>
      <w:r>
        <w:t>Selon l'art. 9 Cst., toute personne a le droit d’être traitée par les organes de l’Etat sans arbitraire et conformément aux règles de la bonne foi. Une décision est arbitraire lorsqu'elle viole gravement une norme ou un principe juridique clair et indiscuté, ou contredit d'une manière choquante le sentiment de la justice et de l'équité (arrêt du Tribunal fédéral 6B_646/2022 du 18 janvier 2023 consid. 3.1.2).</w:t>
      </w:r>
    </w:p>
    <w:p>
      <w:r>
        <w:rPr>
          <w:b/>
        </w:rPr>
        <w:t>E. 2.1.3</w:t>
      </w:r>
    </w:p>
    <w:p>
      <w:r>
        <w:t>L'art. 100 al. 1 LEDP précise que si un second tour de scrutin est nécessaire pour compléter l'élection, il a lieu dans les trois semaines suivant le premier tour. À titre exceptionnel, si le nombre élevé de candidatures ne permet pas l'organisation du scrutin dans le délai précité, le second tour peut avoir lieu dans les cinq semaines suivant le premier tour. L'art. 100 al. 2 LEDP prévoit que si un second tour de scrutin est nécessaire pour compléter l'élection, seuls peuvent déposer une liste les partis politiques, autres associations ou groupements qui ont participé au premier tour. La loi permet toutefois à un candidat qui n'a pas participé au premier tour d'une élection majoritaire de prendre part au second tour de celle-ci, ce qui résulte de l'art. 54 al. 2 LEDP. Une telle possibilité offerte à un candidat n'est du reste pas contraire à la liberté de vote, tout comme celle d'un candidat qui souhaiterait se retirer à l'issue du premier tour ou se verrait évincé par un jeu d'alliance, les scrutins des premier et deuxième tours constituant des opérations électorales distinctes, indépendantes l'une de l'autre ( ACST/7/2015 précité consid. 9), et les électeurs demeurant libres de donner leur voix au candidat de leur choix. L'on ne saurait au surplus y voir une inégalité de traitement entre les candidats ( ACST/10/2021 du 23 mars 2021). Amenée à se prononcer sur la constitutionnalité de l'art. 100 al. 2 LEDP, tel que modifié par la loi 11'256, la chambre constitutionnelle a considéré que cette disposition ne consacrait aucune violation du droit supérieur et était conforme à la garantie des droits politiques ( ACST/7/2015 du 31 mars 2015 consid. 9). Elle a, en particulier, retenu que le fait de laisser libre cours à l'imagination des partis et des candidats pour l'intitulé des listes n'apparaissait pas contraire à la liberté de vote, pas plus que les éventuelles alliances qu'elles reflétaient, lesquelles faisaient au demeurant partie du jeu démocratique. Même si les candidats au second tour pouvaient figurer sur une liste à l'appellation différente de celle du premier, il n'en demeurait pas moins que les citoyens restaient en mesure d'identifier les candidats auxquels ils voulaient offrir leur voix ( ACST/10/2021 précité).</w:t>
      </w:r>
    </w:p>
    <w:p>
      <w:r>
        <w:rPr>
          <w:b/>
        </w:rPr>
        <w:t>E. 2.2</w:t>
      </w:r>
    </w:p>
    <w:p>
      <w:r>
        <w:t>En l'espèce, le recourant soutient que l’assistance juridique devrait lui être octroyée, parce que son recours auprès de la chambre constitutionnelle pour l’élection complémentaire de 2023 présente une situation différente de celle tranchée par les arrêts rendus en 2021 par cette même chambre et que l’assistance juridique ne pouvait s'y référer dans sa décision. Il semble reprocher à la vice-présidence du Tribunal civil d'avoir omis d'examiner ses arguments en détail. Or, c'est avec raison que celle-ci a examiné sommairement, conformément aux principes applicables en la matière, les chances de succès du recours pendant auprès de la chambre constitutionnelle par le recourant, en le comparant aux griefs invoqués. L'Autorité de première instance ne peut pas se substituer au juge du fond, en procédant à un examen approfondi de la cause. En réalité, il substitue son appréciation de la cause à celle de la chambre constitutionnelle et du Tribunal fédéral. En outre, il n'expose pas précisément en quoi la vice-présidence du Tribunal civil aurait établi les faits de manière arbitraire, ni quelle violation de la loi il lui reproche. Il se contente de reprendre ses arguments, déjà développés à de nombreuses reprises, qui ont été examinés et rejetés autant par la chambre constitutionnelle, que par le Tribunal fédéral. En effet, ces juridictions sont arrivées à la conclusion que les règles applicables en matière d’élection complémentaires, comme en l'occurrence, étaient respectées, en particulier les art. 54 al. 2 et 100 al. 2 LEDP, et que leur interprétation était conforme à la jurisprudence. Il semble affirmer que la jurisprudence serait erronée, concernant l’admission des " nouveaux candidats et des alliances entre plusieurs partis ". On peine cependant à le suivre, puisque les juridictions précitées ont déjà statué en ce sens que l'admission d'une nouvelle candidature, dans les conditions qu'il dénonce, ne portait atteinte ni à la liberté de vote, ni à l'égalité de traitement entre les candidats. Les autres éléments avancés par le recourant s’agissant du formulaire adéquat, des exigences pour faire alliance au deuxième tour, ainsi que la volonté supposée de " plusieurs partis ", au sujet de laquelle il n'apporte aucun élément, de " rajouter une règle dans la LEDP qui indiqu [erait] explicitement, comme pour les autres cantons, l’interdiction de venir uniquement pour le deuxième tour " ne permettent pas, a priori , et selon un examen préalable du dossier, de retenir des chances que la seconde instance adopte la position qu'il soutient. Au vu de ce qui précède, l'autorité précédente était ainsi fondée à retenir que, de prime abord, les chances de succès du recours apparaissaient très faibles, voires vouées à l’échec, le recourant semblant tenter a priori , dans son nouveau recours, de modifier l’arrêt rendu par la chambre constitutionnelle en mars 2021 et confirmé par le Tribunal fédéral (arrêt 1C_221/2021 précité), puisqu’il se prévaut de faits relatifs à une problématique identique. Enfin, dans la mesure où il avait lui-même proposé la candidate pour le second tour, en remplacement de sa propre candidature, cette situation soulève également de prime abord des doutes quant à son intérêt digne de protection à cette procédure, comme l’a d’ailleurs relevé à juste titre la vice-présidence du Tribunal civil. Compte tenu de ce qui précède, c'est de manière conforme au droit que la vice-présidence du Tribunal civil a refusé l'assistance juridique au recourant, au motif que les chances de succès de son recours paraissaient extrêmement faibles. Partant, le recours, infondé, sera rejeté.</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4 mars 2024 par A______ contre la décision rendue le 22 janvier 2024 par la vice-présidence du Tribunal civil dans la cause AC/3158/2023.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La vice-présidente : Verena PEDRAZZINI RIZZI La greffière : Maïté VALENTE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