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AC/3154/2022 vom 4. Oktober 2024</w:t>
      </w:r>
    </w:p>
    <w:p>
      <w:r>
        <w:t>GE Cour de justice, 2024-10-04, FR</w:t>
      </w:r>
    </w:p>
    <w:p>
      <w:r>
        <w:rPr>
          <w:b/>
        </w:rPr>
        <w:t xml:space="preserve">Quelle: </w:t>
      </w:r>
      <w:r>
        <w:t>https://mcp.opencaselaw.ch/entscheid/ge_gerichte_AC_3154_2022</w:t>
      </w:r>
    </w:p>
    <w:p>
      <w:r>
        <w:t>FR: GE_GERICHTE AC/3154/2022 du 4 octobre 2024</w:t>
      </w:r>
    </w:p>
    <w:p>
      <w:r>
        <w:t>IT: GE_GERICHTE AC/3154/2022 del 4 ottobre 2024</w:t>
      </w:r>
    </w:p>
    <w:p>
      <w:pPr>
        <w:pStyle w:val="Heading2"/>
      </w:pPr>
      <w:r>
        <w:t>Erwägungen</w:t>
      </w:r>
    </w:p>
    <w:p>
      <w:r>
        <w:rPr>
          <w:b/>
        </w:rPr>
        <w:t>E. 1</w:t>
      </w:r>
    </w:p>
    <w:p>
      <w:r>
        <w:t>1.1. En tant qu'elle retire l'assistance juridique, la décision entreprise, rendue en procédure en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 Par conséquent, les pièces nouvelles produites par la recourante ne seront pas prises en considération. En tout état, elles ne sont pas pertinentes pour juger de la présente cause.</w:t>
      </w:r>
    </w:p>
    <w:p>
      <w:r>
        <w:rPr>
          <w:b/>
        </w:rPr>
        <w:t>E. 3</w:t>
      </w:r>
    </w:p>
    <w:p>
      <w:r>
        <w:t>3.1. 3.1.1 A teneur de l'art. 118 al. 1 CPC,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L'Etat désigne le conseil juridique d'office et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 Selon l'art. 14 al. 1 RAJ, le relief d'une nomination, avec ou sans nomination d'un nouvel avocat, n'est accordé ou ordonné d'office que pour de justes motifs, tels la rupture de la relation de confiance (let. c).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 DAAJ/82/2023 du 25 août 2023 consid. 3.1; DAAJ/50/2023 du 30 mai 2023 consid. 2.1.2; DAAJ/75/2022 du 31 août 2022 consid. 3.1.2; DAAJ/3/2022 du 13 janvier 2022 consid. 3.1, DAAJ/130/2017 du 8 décembre 2017 consid. 3.4). 3.1.2 Selon les art. 120 CPC et 9 RAJ, l'assistance juridique retire l'assistance judiciaire lorsque les conditions d'octroi ne sont plus remplies ou qu'il s'avère qu'elles ne l'ont jamais été. En principe, ce retrait n'intervient que pour l'avenir (ATF 141 I 241 consid. 3.1). Le retrait rétroactif ( ex tunc ) ne s'applique qu'exceptionnellement (arrêt du Tribunal fédéral 5A_305/2013 du 19 août 2013 consid. 3.5), par exemple parce que la partie a fourni des indications fausses ou incomplètes sur sa situation financière ou s'est comportée d'une autre façon de manière téméraire, trompeuse, fallacieuse ou abusive (arrêt du Tribunal fédéral 4D_19/2016 du 11 avril 2016 consid. 4.5).</w:t>
      </w:r>
    </w:p>
    <w:p>
      <w:r>
        <w:rPr>
          <w:b/>
        </w:rPr>
        <w:t>E. 3.2</w:t>
      </w:r>
    </w:p>
    <w:p>
      <w:r>
        <w:t>En l'espèce, la décision du 22 août 2024 refusant le changement d'avocat-e faute de justes motifs et la décision du 20 septembre 2024 rejetant la demande de reconsidération de cette décision n'ont pas été contestées par la recourante et sont entrées en force. Il en découle que les développements de cette dernière en lien avec la rupture du lien de confiance vis-à-vis de son ancienne avocate, Me C______, ne sont pas pertinents. Or, la recourante a résilié le mandat de Me C______ et mandaté Me B______ pour la défendre dans le cadre de la cause C/1______/2022 malgré le fait que le changement de conseil lui ait été refusé par les deux décisions précitées, soit sans autorisation. Il en découle que c'est conformément à la jurisprudence de la Cour de céans que la vice-présidence a indiqué à la recourante qu'il lui incombait de rémunérer son nouveau conseil de choix dans le cadre de la procédure précitée au moyen de ses propres deniers. La décision de la vice-présidence de réduire l'étendue du bénéfice de l'assistance judiciaire de la recourante aux seuls frais judiciaires est ainsi justifiée. En conséquence, le recours est infondé et sera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4 octobre 2024 par la vice-présidence du Tribunal civil dans la cause AC/3154/2022.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