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AC/312/2016 vom 12. April 2016</w:t>
      </w:r>
    </w:p>
    <w:p>
      <w:r>
        <w:t>GE Cour de justice, 2016-04-12, FR</w:t>
      </w:r>
    </w:p>
    <w:p>
      <w:r>
        <w:rPr>
          <w:b/>
        </w:rPr>
        <w:t xml:space="preserve">Quelle: </w:t>
      </w:r>
      <w:r>
        <w:t>https://mcp.opencaselaw.ch/entscheid/ge_gerichte_AC_312_2016</w:t>
      </w:r>
    </w:p>
    <w:p>
      <w:r>
        <w:t>FR: GE_GERICHTE AC/312/2016 du 12 avril 2016</w:t>
      </w:r>
    </w:p>
    <w:p>
      <w:r>
        <w:t>IT: GE_GERICHTE AC/312/2016 del 12 aprile 2016</w:t>
      </w:r>
    </w:p>
    <w:p>
      <w:pPr>
        <w:pStyle w:val="Heading2"/>
      </w:pPr>
      <w:r>
        <w:t>Regeste</w:t>
      </w:r>
    </w:p>
    <w:p>
      <w:r>
        <w:t>CHANCES DE SUCCÈS; INTERPRÉTATION(SENS GÉNÉRAL); CONDITION D'ASSURANCE; DÉCISION DE RENVOI</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Lorsqu'elle s'achemine vers le refus de l'assistance judiciaire, l'autorité ne peut ni ignorer des faits qui tendraient à l'admission de la cause, ni renoncer à élucider la portée de faits essentiels encore peu clairs (arrêt du Tribunal fédéral 4A_592/2011 du 29 novembre 2011 consid. 3.3). 2.2.1. Lorsqu'il n'est pas possible de constater une réelle et commune intention des parties à propos de conditions générales d'assurance, celles-ci doivent être interprétées selon le principe de la confiance, soit en fonction du sens que les parties pouvaient ou devaient leur donner de bonne foi. S'agissant de dispositions préétablies, elles doivent en principe être interprétées de la même manière que des clauses rédigées individuellement. Est en particulier applicable le principe selon lequel il faut, en présence de clauses ambiguës, préférer, si elle figure parmi celles qui sont possibles, l'interprétation qui correspond à la solution légale. En effet, comme le législateur a, en règle générale, opéré une pesée des intérêts en cause, la partie qui veut s'écarter de la loi doit l'exprimer de façon suffisamment claire dans le contrat (ATF 126 III 388 consid. 9d et les arrêts cités). Aux termes de l'art. 61 LCA, lors du sinistre, l'ayant droit est obligé de faire tout ce qui est possible pour restreindre le dommage ; s'il n'y a pas péril en la demeure, il doit requérir les instructions de l'assureur et s'y conformer (al. 1) ; si l'ayant droit contrevient à cette obligation d'une manière inexcusable, l'assureur peut réduire l'indemnité au montant auquel elle serait ramenée si l'obligation avait été remplie (al. 2). Sous réserve de l'exigence d'une faute comme condition de toute réduction des prestations en cas de manquement de l'assuré (cf. art. 45 LCA), l'art. 61 LCA n'est pas impératif (cf. art. 97 et 98 LCA). Les parties peuvent donc préciser, voire aggraver, l'obligation de sauvetage que pose l'al. 1 de cette disposition légale et remplacer la réduction des prestations prévue à l'al. 2 par l'extinction complète du droit aux prestations en cas de violation fautive de ses incombances par l'assuré (arrêt du Tribunal fédéral 5C.55/2005 du 6 juin 2005 consid. 2.1). Par ailleurs, en vertu de l'art. 38 al. 1 et 2 LCA, l'ayant droit doit aviser l'assureur aussitôt qu'il a eu connaissance du sinistre et de son droit à des prestations d'assurance ; s'il omet fautivement de donner cet avis, l'assureur a le droit de réduire l'indemnité à la somme qu'elle comporterait si la déclaration avait été faite à temps. Cette exigence a pour but de permettre à l'assureur, d'une part, de vérifier l'existence d'un droit à des prestations et, d'autre part, d'ordonner, si nécessaire, des mesures pour réduire le dommage. Sous réserve de l'exigence d'une faute comme condition de toute réduction des prestations en cas de manquement de l'assuré (cf. art. 45 LCA), l'art. 38 LCA n'est pas impératif (cf. art. 97 et 98 LCA). Les parties peuvent donc préciser, voire aggraver, l'obligation que pose l'al. 1 de cette disposition légale et remplacer la réduction des prestations prévue à l'al. 2 par l'extinction complète du droit aux prestations en cas de violation fautive de ses incombances par l'assuré (arrêt du Tribunal fédéral 5C.55/2005 précité consid. 2.3). 2.2.2. L'obligation d'aviser l'assureur de la survenance d'un sinistre, telle qu'elle ressort de l'art. 38 al. 1 LCA, a pour fonction de permettre à l'assureur de vérifier l'existence d'un droit à des prestations et d'ordonner, si nécessaire, des mesures pour réduire le dommage ; il s'agit donc d'une incombance dépendante (unselbstständige Obligenheit), qui ne poursuit pas un but en soi, mais vise à maintenir le rapport d'équivalence dans le contrat d'assurance. Le Tribunal fédéral en a déjà déduit, dans un arrêt du 11 décembre 2001 (arrêt 4C.314/1992 consid. 5b), que ce n'est que lorsque la violation de cette incombance a une incidence sur l'ensemble du rapport contractuel qu'elle produit des effets juridiques. La raison en est que la violation d'une incombance dépendante qui ne porte pas atteinte à l'équivalence des prestations n'est pas déterminante et reste donc dépourvue d'effet juridique. Aussi, l'assureur ne peut pas se prévaloir de la déchéance stipulée dans les conditions générales d'assurance s'il apparaît que l'omission de l'assuré de consulter rapidement un médecin et de faire une déclaration de sinistre dans les cinq jours n'a pas exercé d'influence sur la survenance de l'accident allégué ou sur l'étendue de la prestation d'assurance qui en découle (arrêt du Tribunal fédéral 5C.55/2005 précité consid. 4.1). C'est à l'assuré qui réclame le versement de prestations en contestant l'applicabilité d'une clause de déchéance qu'il appartient de prouver que la violation de l'une ou de l'autre de ses incombances n'a pas eu d'influence sur la survenance de l'événement redouté ou sur l'étendue de la prestation de l'assureur (arrêt du Tribunal fédéral 5C.55/2005 précité consid. 4.2). 2.2.3. D'après la jurisprudence, la violation de ses obligations par l'assuré n'est pas due à une faute, au sens de l'art. 45 LCA et des conditions générales d'assurance qui s'y rapportent, si des causes objectives, ou du moins non imputables à l'assuré, ont empêché celui-ci de respecter ses obligations (cf. ATF 115 II 88 consid. 4 ; 84 II 556 consid. 9 arrêt du Tribunal fédéral 5C.55/2005 précité consid. 3.1).</w:t>
      </w:r>
    </w:p>
    <w:p>
      <w:r>
        <w:rPr>
          <w:b/>
        </w:rPr>
        <w:t>E. 2.3</w:t>
      </w:r>
    </w:p>
    <w:p>
      <w:r>
        <w:t>En l'espèce, il ressort des éléments du dossier que le recourant devait aviser l'assureur de son incapacité de travail dans un certain délai prévu par les conditions générales d'assurance. Il ne paraît donc a priori pas arbitraire de considérer qu'il a failli à cette incombance en attendant plus de 6 mois pour annoncer le sinistre. Or, conformément aux conditions générales précitées, l'inobservation des obligations contractuelles - dont l'incombance précitée semble faire partie, contrairement à ce que soutient le recourant - était susceptible d'entraîner la suppression des prestations d'assurance. Cela étant, il n'est pas exclu que la violation – fautive ou non – de cette incombance ait pu être sans influence sur les prestations que l'assureur aurait dû verser, avec pour conséquence que la sanction prévue par l'art. 12 CGA serait inapplicable, conformément aux principes exposés ci-dessus. Le dossier ne contient cependant aucun élément permettant d'examiner, sous l'angle de la vraisemblance, les conséquences de la violation de ses obligations par le recourant sur l'étendue des prestations que l'assurance aurait dû verser en cas d'avis de sinistre dans le délai prescrit. La décision entreprise sera donc annulée et la cause renvoyée au premier juge pour instruction complémentaire sur ce point et nouvelle décision.</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A______ contre la décision rendue le 12 avril 2016 par le Vice-président du Tribunal civil dans la cause AC/312/2016.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 e Marc MATHEY-DORET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