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AC/3101/2014 vom 10. September 2015</w:t>
      </w:r>
    </w:p>
    <w:p>
      <w:r>
        <w:t>GE Cour de justice, 2015-09-10, FR</w:t>
      </w:r>
    </w:p>
    <w:p>
      <w:r>
        <w:rPr>
          <w:b/>
        </w:rPr>
        <w:t xml:space="preserve">Quelle: </w:t>
      </w:r>
      <w:r>
        <w:t>https://mcp.opencaselaw.ch/entscheid/ge_gerichte_AC_3101_2014</w:t>
      </w:r>
    </w:p>
    <w:p>
      <w:r>
        <w:t>FR: GE_GERICHTE AC/3101/2014 du 10 septembre 2015</w:t>
      </w:r>
    </w:p>
    <w:p>
      <w:r>
        <w:t>IT: GE_GERICHTE AC/3101/2014 del 10 settembre 2015</w:t>
      </w:r>
    </w:p>
    <w:p>
      <w:pPr>
        <w:pStyle w:val="Heading2"/>
      </w:pPr>
      <w:r>
        <w:t>Regeste</w:t>
      </w:r>
    </w:p>
    <w:p>
      <w:r>
        <w:t>ASSISTANCE JUDICIAIRE; CHANCES DE SUCCÈS; OBLIGATION D'ENTRETIEN | CPC.117; CPC.261.1; CPC.321.1</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 Pour les mêmes raisons, il ne sera pas donné suite à la demande d'apport de la procédure C/1______.</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w:t>
      </w:r>
    </w:p>
    <w:p>
      <w:r>
        <w:rPr>
          <w:b/>
        </w:rPr>
        <w:t>E. 3.2</w:t>
      </w:r>
    </w:p>
    <w:p>
      <w:r>
        <w:t>Les mesures protectrices de l'union conjugale relèvent de la procédure sommaire (art. 271 al. 1 let. a CPC) et sont considérées par la jurisprudence comme des mesures provisionnelles (ATF 137 III 475 consid. 4.1). De ce fait, il n'y a en principe pas place pour une décision sur mesures provisionnelles avant que la procédure de mesures protectrices parvienne à son terme. Dans des circonstances exceptionnelles, la jurisprudence de la Cour de Justice, s'appuyant sur l'opinion de certains auteurs de doctrine, admet le prononcé de mesures provisionnelles dans le cadre de la procédure de mesures protectrices, lorsque cette procédure risque de se prolonger, ou encore lorsque le juge a déjà statué sur mesures superprovisionnelles à plusieurs reprises et où les mesures requises sont appelées à s'appliquer pour une certaine durée ( ACJC/154/2014 du 7 février 2014 consid. 3 et les références citées). L'art. 261 al. 1 CPC prévoit que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L'octroi de mesures provisionnelles suppose la vraisemblance du droit invoqué. Le requérant doit ainsi rendre vraisemblable que le droit matériel invoqué existe et que le procès a des chances de succès. Il doit également rendre vraisemblable une atteinte au droit ou son imminence. Dans le cadre des mesures provisionnelles, le juge peut se limiter à la vraisemblance des faits et à l'examen sommaire du droit, en se fondant sur les moyens de preuve immédiatement disponibles. Des exigences beaucoup plus élevées sont posées pour les mesures d'exécution anticipée provisoires, qui portent une atteinte particulièrement grave à la situation juridique de l'intimé et qui ne peuvent être admises que de façon restrictive. Ces exigences portent aussi bien sur l'existence des faits pertinents que sur l'ensemble des conditions d'octroi des mesures en cause, en particulier sur l'appréciation de l'issue du litige sur le fond et des inconvénients respectifs pour le requérant et pour le cité, selon que la mesure soit ordonnée ou refusée. Dans de tels cas, la protection juridique provisoire ne doit ainsi être accordée que lorsque la demande apparaît fondée de manière relativement claire, au vu de l'état de fait rendu vraisemblable ( ACJC/154/2014 précité consid. 4 et les références citées).</w:t>
      </w:r>
    </w:p>
    <w:p>
      <w:r>
        <w:rPr>
          <w:b/>
        </w:rPr>
        <w:t>E. 3.3</w:t>
      </w:r>
    </w:p>
    <w:p>
      <w:r>
        <w:t>En l'espèce, le Tribunal a admis que les circonstances exceptionnelles prévues par la jurisprudence étaient réalisées, en raison de la procédure d'expertise psychiatrique du groupe familial en cours, amenée à durer plusieurs mois, ainsi que des diverses ordonnances sur mesures superprovisionnelles rendues en novembre et décembre 2014. La nécessité de mesures provisionnelles a ainsi été admise concernant la garde des enfants, l'interdiction faite à la recourante de quitter le territoire suisse avec ces derniers, le dépôt de leurs pièces d'identité auprès du Tribunal et l'attribution de la jouissance du domicile conjugal. En revanche, le Tribunal a estimé que le prononcé de mesures provisionnelles n'était pas nécessaire concernant les aspects financiers, ce que la recourante conteste. La recourante fait grief aux juges précédents de ne pas avoir inclus, dans les revenus de son époux, les différentes sommes qu'il a reçues de ses parents. Elle estime que les revenus mensuels de son époux s'élèvent au minimum à 13'231 fr. 50, en incluant les donations régulières effectuées par ses parents. Cependant, il semble prima facie que les sommes versées sur le compte bancaire UBS n° 3______ de l'époux par ses parents ont servi à payer les frais hypothécaires du domicile conjugal et que ces versements ont cessé début 2015. En conséquence, il n'y a a priori pas lieu d'intégrer ces sommes aux revenus de l'époux, dans la mesure où rien n'indique qu'il en subsisterait un quelconque montant, qui n'aurait pas été alloué au paiement des frais hypothécaires. En outre, aucun élément du dossier soumis à l'autorité de céans ne permet de mettre en doute l'affirmation de l'époux selon laquelle il a remboursé à ses parents l'intégralité des fonds dont ils avaient crédité son compte postal CCP 4______. Dans ces conditions, le juge précédent ne s'est pas livré à une constatation manifestement inexacte des faits en retenant que l'époux de la recourante disposait d'un revenu mensuel de 5'727 fr. 50, correspondant à son seul salaire. Il s'ensuit également que la recourante fait erreur lorsqu'elle estime qu'aucun élément de la procédure de première instance ne laisse penser que son époux n'aurait pas les moyens de maintenir le train de vie dont bénéficiait sa famille avant la séparation, les parents de celui-ci ayant cessé de l'aider à payer les frais hypothécaires du domicile conjugal et ayant exigé et obtenu la restitution de l'intégralité du montant crédité sur son compte postal. Sur la base d'un examen sommaire, il y a lieu de considérer, avec l'autorité précédente, que les chances de succès de l'appel de la recourante sont faibles, voire inexistantes. Il résulte en effet du dossier que le salaire de l'époux (5'727 fr. 50) suffit à peine à couvrir les charges dont il s'acquitte mensuellement pour la famille, soit les intérêts hypothécaires du domicile conjugal (2'325 fr.), les primes d'assurance-maladie de la recourante et des enfants (668 fr. au total), ainsi que la contribution d'entretien de 2'100 fr. qu'il verse à la recourante, et ce sans compter sa propre prime d'assurance-maladie (277 fr.), son entretien de base OP d'un montant de 850 fr. (1/2 de 1'700 fr., montant applicable à un débiteur vivant sans enfant en communauté de vie réduisant les coûts) et les autres charges qu'il assume ponctuellement (assurance-ménage et responsabilité civile, assurance-bâtiment, assurance-véhicule de la recourante, etc.). Par ailleurs, la recourante n'expose pas en quoi la contribution d'entretien de 2'100 fr. versée par son époux serait insuffisante, comme l'a relevé à juste titre le juge précédent. Afin de démontrer l'urgence de sa situation, elle renvoie dans le présent recours à des pièces non produites en première instance. Dès lors, sur ce point également, la décision querellée n'est pas critiquable. Enfin, la recourante se plaint, pour la première fois devant l'autorité de céans, que l'interdiction qui lui a été faite de sortir du territoire suisse avec ses enfants C______ et D______, ainsi que le dépôt de leurs pièces d'identité auprès du Tribunal, sont des mesures disproportionnées et non justifiées, en renvoyant aux explications qu'elle a fournies dans son appel contre l'ordonnance du Tribunal litigieuse, appel qu'elle a joint au présent recours. Cependant, l'autorité de céans ne peut prendre en compte cet appel et le chargé de pièces qui l'accompagne, dans la mesure où il s'agit de pièces nouvelles irrecevables (cf. supra consid. 2). Dès lors, ce nouveau grief est irrecevable dans la mesure où, d'une part, il n'est pas motivé et, d'autre part, il n'a pas été examiné par l'autorité précédente, faute d'avoir été allégué par la recourante. Partant, le recours est infondé et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 er juin 2015 par le Vice-président du Tribunal civil dans la cause AC/3101/2014. Au fond : Le rejette. Déboute A______ de toutes autres conclusions. Dit qu'il n'est pas perçu de frais judiciaires pour le recours. Notifie une copie de la présente décision à A______ en l'Étude de M e Vanessa NDOUMBE NKOTTO (art. 137 CPC). Siégeant : Madame Florence KRAUSKOPF, vice-présidente a.i.; Monsieur David VAZQUEZ, commis-greffier. La vice-présidente a.i. : Florence KRAUSKOPF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