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AC/30/2023 vom 9. Januar 2023</w:t>
      </w:r>
    </w:p>
    <w:p>
      <w:r>
        <w:t>GE Cour de justice, 2023-01-09, FR</w:t>
      </w:r>
    </w:p>
    <w:p>
      <w:r>
        <w:rPr>
          <w:b/>
        </w:rPr>
        <w:t xml:space="preserve">Quelle: </w:t>
      </w:r>
      <w:r>
        <w:t>https://mcp.opencaselaw.ch/entscheid/ge_gerichte_AC_30_2023</w:t>
      </w:r>
    </w:p>
    <w:p>
      <w:r>
        <w:t>FR: GE_GERICHTE AC/30/2023 du 9 janvier 2023</w:t>
      </w:r>
    </w:p>
    <w:p>
      <w:r>
        <w:t>IT: GE_GERICHTE AC/30/2023 del 9 gennaio 2023</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même si elle n'y conclut pas formellement, on comprend que la recourante, agissant en personne, sollicite l'annulation de la décision entreprise et le bénéfice de l'assistance juridique.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la recourante n'a pas fait état en première instance et les pièces nouvelles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144 III 531 consid. 4.1; arrêt du Tribunal fédéral 5A_972/2021 du 2 février 2023 consid. 2.1.1).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ainsi que de sa fortune, mobilière et immobilière, pour autant qu'elle soit disponible et, d'autre part, l'ensemble de ses engagements financiers, seules les charges réellement acquittées étant susceptibles d'entrer dans le calcul du minimum vital (ATF 135 I 221 consid. 5.1; arrêt du Tribunal fédéral 5A_972/2021 du 2 février 2023 consid. 2.1.1).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ATF 124 I 1 consid. 2a).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3.2</w:t>
      </w:r>
    </w:p>
    <w:p>
      <w:r>
        <w:t>En l'espèce, c'est à tort que la recourante reproche à la vice-présidente du Tribunal de première instance d'avoir tenu compte de ses revenus locatifs, au motif que l'appartement n'est plus loué depuis novembre 2022 et qu'elle n'est pas certaine de pouvoir en disposer à l'avenir. En effet, s'agissant du montant perçu par la recourante, le premier juge a, à juste titre, effectué une moyenne des loyers encaissés pour les mois pour lesquels la recourante a fourni des informations, soit le dernier trimestre 2022. Il a donc été tenu compte du fait que l'appartement n'a pas été loué au mois de décembre 2022. Dès lors que la situation financière de la recourante devait être examinée au jour du dépôt de la demande d'assistance juridique et que celle-ci a déposé sa requête le 5 janvier 2023, il ne peut être reproché au premier juge de ne pas avoir retenu, s'agissant d'un fait futur, que la recourante ne percevrait plus de revenus locatifs à l'avenir. La recourante n'a, en effet, pas rendu vraisemblable qu'elle ne disposera plus de la jouissance de cet appartement prochainement et que la contribution à son entretien de 3'000 fr. par mois versée par son époux sera supprimée, faute d'avoir fourni des renseignements sur l'avancement de la procédure de divorce. Par conséquent, la décision querellée n'est pas critiquable sur ce point. En outre, c'est à juste titre que le premier juge n'a pas tenu compte des frais dentaires dès lors que ceux-ci n'étaient ni engagés ni acquittés lors du dépôt de la requête. Compte tenu de ce qui précède, c'est à juste titre que le premier juge a considéré que la recourante ne remplissait pas la condition d'indigence. Partant, le recours, infondé, sera rejeté.</w:t>
      </w:r>
    </w:p>
    <w:p>
      <w:r>
        <w:rPr>
          <w:b/>
        </w:rPr>
        <w:t>E. 4</w:t>
      </w:r>
    </w:p>
    <w:p>
      <w:r>
        <w:t>Sauf exceptions non réalisées en l'espèce, il n'est pas perçu de frais judiciaires pour la procédure d'assistance juridique (art. 119 al. 6 CPC). Compte tenu de l'issue du litige, il n'y a pas lieu à l'octroi de dépens.![endif]&gt;![if&gt; * * * * * PAR CES MOTIFS, LA VICE-PRÉSIDENTE DE LA COUR : A la forme : Déclare recevable le recours formé le 18 janvier 2023 par A______ contre la décision rendue le 9 janvier 2023 par la vice-présidente du Tribunal de première instance dans la cause AC/30/2023.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