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AC/3090/2023 vom 20. November 2023</w:t>
      </w:r>
    </w:p>
    <w:p>
      <w:r>
        <w:t>GE Cour de justice, 2023-11-20, FR</w:t>
      </w:r>
    </w:p>
    <w:p>
      <w:r>
        <w:rPr>
          <w:b/>
        </w:rPr>
        <w:t xml:space="preserve">Quelle: </w:t>
      </w:r>
      <w:r>
        <w:t>https://mcp.opencaselaw.ch/entscheid/ge_gerichte_AC_3090_2023</w:t>
      </w:r>
    </w:p>
    <w:p>
      <w:r>
        <w:t>FR: GE_GERICHTE AC/3090/2023 du 20 novembre 2023</w:t>
      </w:r>
    </w:p>
    <w:p>
      <w:r>
        <w:t>IT: GE_GERICHTE AC/3090/2023 del 20 novembre 2023</w:t>
      </w:r>
    </w:p>
    <w:p>
      <w:pPr>
        <w:pStyle w:val="Heading2"/>
      </w:pPr>
      <w:r>
        <w:t>Erwägungen</w:t>
      </w:r>
    </w:p>
    <w:p>
      <w:r>
        <w:rPr>
          <w:b/>
        </w:rPr>
        <w:t>E. 1.1</w:t>
      </w:r>
    </w:p>
    <w:p>
      <w:r>
        <w:t>La décision entreprise est sujette à recours auprès de la présidence de la Cour de justice en tant qu'elle refuse l'assistance juridique (art. 10 al. 3 LPA), compétence expressément déléguée à la vice-présidente soussignée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la recourante, celle-ci ne le sollicitant pas et le dossier contenant suffisamment d'éléments pour statuer (art. 10 al. 3 LPA ; arrêt du Tribunal fédéral 2D_73/2015 du 30 juin 2016 consid. 4.2).</w:t>
      </w:r>
    </w:p>
    <w:p>
      <w:r>
        <w:rPr>
          <w:b/>
        </w:rPr>
        <w:t>E. 2</w:t>
      </w:r>
    </w:p>
    <w:p>
      <w:r>
        <w:t>À teneur de l'art. 326 al. 1 CPC, les conclusions et les allégations de faits nouvelles sont irrecevables dans le cadre d'une procédure de recours. Par conséquent, les allégués de faits dont la recourante n'a pas fait état en première instance ne seront pas pris en considération.</w:t>
      </w:r>
    </w:p>
    <w:p>
      <w:r>
        <w:rPr>
          <w:b/>
        </w:rPr>
        <w:t>E. 3</w:t>
      </w:r>
    </w:p>
    <w:p>
      <w:r>
        <w:t>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3.1.2. Les frais, débours, émoluments et vacations dus soit pour les inventaires dressés par le fonctionnaire délégué du département, soit pour ceux dressés par le notaire sont supportés par les débiteurs des droits mentionnés à l’art. 53 de la loi sur les droits de succession du 26 novembre 1960 (LDS - D 3 25 ; art. 4 al. 1 du règlement sur l’inventaire au décès du 23 décembre 1960 - RInDé - D 3 25.05). L’émolument pour l’inventaire au décès dressé par le fonctionnaire délégué du département est fixé dès que l’actif net imposable dépasse 25'000 fr. : de 25'001 fr. à 50'000 fr., 25 fr. (let. a), de 50'001 fr. à 100 000 fr., 75 fr. (let. b), dès 100'001 fr., 150 fr. (let. c), plus 75 fr. par tranche ou fraction de tranche de 100'000 fr., sans toutefois pouvoir dépasser 10'000 fr. (art. 4 al. 2 RInDé). Pour les successions ouvertes dans le canton de Genève, les droits de succession sont perçus sur tous les biens qui en dépendent (art. 1 al. 2 let. a et 4 LDS). Quel que soit le mode de liquidation de la succession, l’estimation des biens délaissés s’établit d’après leur valeur au jour du décès (art. 8 al. 1 ab intitio LDS). Cette estimation, sous réserve de l’expertise prévue par la LDS, est établie par la déclaration des parties (let. a) et par toutes pièces justificatives (let. b ; art. 8 al. 3 LDS). Les actions, obligations, parts sociales et autres titres sont estimés au cours ou à leur valeur au jour du décès. En ce qui concerne les actions de sociétés anonymes immobilières, leur estimation est effectuée en prenant comme base la valeur vénale des biens immobiliers et autres actifs de ces sociétés, sous déduction du passif dont il est justifié (art. 11 al. 1 LDS). Les créances sont estimées au pair, à moins qu’à raison de l’insolvabilité plus ou moins complète du débiteur, il n’y ait lieu de les considérer comme partiellement ou totalement perdues (art. 11 al. 2 LDS). 3.1.3. Les critères posés par la jurisprudence pour juger de la difficulté de recouvrer une créance sont restrictifs : il faut que le débiteur apparaisse comme définitivement insolvable pour que la créance ne soit pas imposable ( ATA/103/2024 du 30 janvier 2024 consid. 3.2 ; ATA/1375/2015 du 21 décembre 2015 consid. 6b ; ATA/44/2011 du 25 janvier 2011 consid. 4c ; ATA/677/2009 du 22 décembre 2009 consid. 6). La perte est certaine lorsque le contribuable démontre qu’il a mis en œuvre les procédures et démarches que l’on peut raisonnablement attendre d’un créancier ou d’un porteur de droit à l’égard de son bien. Une perte commerciale est définitive lorsque, à vues humaines, il n'apparaît pas possible d'attendre le retour à l'état antérieur, ni de compter sur une appréciation réelle de la valeur du bien en cause. Les pertes sur créances deviennent effectives au moment où l'insolvabilité est constatée officiellement par un acte de défaut de biens ( ATA/1375/2015 précité consid. 6b et les références citées). L’insolvabilité est une notion de droit fédéral. Le débiteur est insolvable lorsqu’il ne dispose pas de moyens liquides suffisants pour acquitter ses dettes exigibles ( ATA/103/2024 précté consid. 3.2 ; ATA/1351/2017 du 3 octobre 2017 consid. 5a ; ATA/508/2014 du 1 er juillet 2014 consid. 6a). L’insolvabilité suppose que le débiteur se trouve dans une incapacité durable de faire face à ses engagements (ATF 137 II 353 consid. 5.2.1 et les références citées). 3.1.4 Une décision est arbitraire au sens de l’art. 9 de la Constitution fédérale de la Confédération suisse du 18 avril 1999 (Cst. - RS 101)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142 V 512 consid. 4.2 ; arrêts du Tribunal fédéral 2C_170/2022 du 21 décembre consid. 5.1 ; 2C_683/2021 du 12 avril 2022 consid. 5.1). De plus, il ne suffit pas que les motifs de la décision attaquée soient insoutenables, encore faut-il que cette dernière soit arbitraire dans son résultat (ATF 145 IV 154 consid. 1.1 ; 144 I 170 consid. 7.3 ; arrêts du Tribunal fédéral 1C_273/2022 du 8 février 2023 consid. 3.1 ; 1C_734/2021 du 26 janvier 2023 consid. 4.1). 3.1.5. La jurisprudence a tiré de l’art. 29 al. 1 Cst.,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145 I 201 consid. 4.2.1 ; arrêts du Tribunal fédéral 2C_741/2022 du 7 mars 2023 consid. 2.4.2 ; 4A_462/2022 du 6 mars 2023 consid. 5.1.2 ; ATA/262/2023 du 14 mars 2023 consid. 4a ; Jacques DUBEY, Droits fondamentaux, vol. 2, 2018, p. 806 n. 4046 ss ; Jacques DUBEY / Jean-Baptiste ZUFFEREY, Droit administratif général, 2014, p. 702 n. 2010). L'excès de formalisme peut résider soit dans la règle de comportement imposée au justiciable, soit dans la sanction qui lui est attachée (ATF 132 I 249 consid. 5 ; arrêt du Tribunal fédéral 2C_221/2014 du 14 janvier 2015 consid. 5.1 ; ATA/262/2023 du 14 mars 2023 consid. 4a). Ainsi en va-t-il lorsque la violation d’une règle de forme de peu d’importance entraîne une sanction grave et disproportionnée, telle par exemple une décision d’irrecevabilité (ATF 133 V 402 consid. 3.3 ; arrêt du Tribunal fédéral 4A_416/2020 du 4 novembre 2020 consid. 3.3.3 ; Pierre MOOR/Etienne POLTIER, Droit administratif, vol. 2, 3 e éd., 2011, p. 261 n. 2.2.4.6 et les références citées). 3.1.6. En matière fiscale, les règles générales relatives à la répartition du fardeau de la preuve ancrées à l'art. 8 Code civil suisse du 10 décembre 1907 (CC - RS 210),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ou la suppriment (ATF 146 II 6 consid. 4.2 ; 144 II 427 consid. 8.3.1 ; 140 II 248 consid. 3.5).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121 II 257 consid. 4c.aa). 3.2.1. En l'espèce, la recourante affirme que son recours devant le CJCA aurait de bonnes chances de succès premièrement car son grief relatif au caractère erroné de la valeur des actions prise en compte par l'AFC serait fondé. La recourante affirme que la valeur des actions retenue ne correspondrait pas à la valeur vénale du bien immobilier et ne tiendrait pas compte des passifs justifiés. Il ressort néanmoins du jugement du TAPI que l'AFC a fixé la valeur des actions compte tenu du bilan de la société au 31 décembre 2017, du bien immobilier s'y rattachant et des créances chirographaires et hypothécaires du défunt contre la société, de sorte que l'argumentation de la recourante apparaît a priori dépourvue de fondement. Par ailleurs, la recourante aboutit à la conclusion que c'est à juste titre que le capital‑actions a été indiqué à sa valeur nominale. Cette conclusion est toutefois a priori également erronée puisque le capital-actions doit être pris en compte à sa valeur vénale en application de l'art. 11 al. 1 LDS. Par conséquent, le grief de la recourante formulé contre le jugement du TAPI apparaît, à première vue et au regard du dossier en mains de l'Autorité de céans, infondé. 3.2.2. La recourante affirme ensuite que son recours aurait de bonnes chances de succès en raison du caractère irrécouvrable des créances contre E______, affirmant que l'AFC serait tombée dans l'arbitraire et aurait fait preuve de formalisme excessif en refusant de constater ledit caractère. Comme l'a constaté l'Autorité précédente, le TAPI et la CJCA ont déjà eu à examiner ces créances et leur caractère recouvrable. En effet, dans l' ATA/405/2023 précité, qui concernait une demande de révision de l'imposition ordinaire des créances envers E______ pour les année 2009 à 2015, la CJCA avait constaté que les époux avaient déjà fait valoir pour les taxations 2015 et 2016 que ces créances étaient irrécouvrables, ce qu'ils n'étaient pas parvenus à démontrer ( JTAPI/1427/2022 du 19 décembre 2022 consid. 9), et que le courrier de E______ de mai 2020 ne démontrait pas l'insolvabilité de ce dernier au cours des années 2009 à 2015 (consid. 2 e et 2f). La recourante affirme cependant devant l'Autorité de céans avoir fourni des informations pertinentes concernant la situation de E______ dans le cadre de son recours auprès de la CJCA et avoir ainsi démontré le caractère irrécouvrable des créances. Il ressort effectivement de son acte de recours du 26 octobre 2023 devant la CJCA qu'elle a produit une pièce n o</w:t>
      </w:r>
    </w:p>
    <w:p>
      <w:r>
        <w:rPr>
          <w:b/>
        </w:rPr>
        <w:t>E. 5</w:t>
      </w:r>
    </w:p>
    <w:p>
      <w:r>
        <w:t>pour démontrer que E______ a perdu l'intégralité de sa fortune, sans plus de précision. Cependant, la production d'une pièce non identifiée et dont le contenu lui est inconnu ne permet pas à l'Autorité de céans de retenir que la recourante aurait à première vue démontré, dans le cadre son recours devant la CJCA et contrairement à ce qui a été retenu dans le cadre des procédures susmentionnées, le caractère irrécouvrable des créances contre E______, ceci au jour du décès de son époux, moment déterminant dans le cadre de la fixation de l'émolument litigieux. Pour le reste, contrairement à l'argumentation de la recourante, ni les dispositions légales et réglementaires, ni la jurisprudence, ni les principes d'interdiction de l'arbitraire et du formalisme excessif ne dictent a priori la prise en compte de l'état de santé de l'époux de la recourante avant son décès ou de la situation personnelle de cette dernière pour évaluer le caractère recouvrable ou non des créances en cause. Les griefs de violation de la loi, d'arbitraire et de formalisme excessif soulevés devant le CJCA apparaissent dès lors à première vue mal fondés. Au vu de ce qui précède et du dossier en mains de l'Autorité de céans, le recours auprès de la CJCA contre le jugement du TAPI paraît à première vue dépourvu de toutes chances de succès. C'est donc de manière conforme au droit que l'Autorité de première instance a refusé d'octroyer le bénéfice de l'assistance juridique à la recourante aux fins d'interjeter ledit recours. 3.2.3. La recourante affirme toutefois que le refus d'octroi de l'assistance judiciaire aurait pour conséquence une violation de son droit d'accéder à la justice, garanti par l'art. 29a Cst. Elle perd cependant de vue que l'assistance judiciaire a certes pour but de garantir l'accès à la justice, mais que l'octroi de l'aide étatique est notamment subordonné à la condition que la procédure engagée ou envisagée ne soit pas dépourvue de chances de succès ( DAAJ/8/2020 du 3 mars 2020 consid. 2.3), condition qui n'est pas remplie en l'occurrence, comme il a été vu précédemment. Le grief sera écarté. Au vu de ce qui précède, le recours contre la décision de l'Autorité de première instance, mal fondé, sera rejeté. 4. Sauf exceptions non réalisées en l'espèce, il n'est pas perçu de frais judiciaires pour la procédure d'assistance juridique (art. 119 al. 6 CPC). * * * * * PAR CES MOTIFS, LA VICE-PRÉSIDENTE DE LA COUR : A la forme : Déclare recevable le recours formé le 23 décembre 2023 par A______ contre la décision rendue le 20 novembre 2023 par la vice-présidence du Tribunal civil dans la cause AC/3090/2023. Au fond : Le rejette.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 Indication des voies de recours : Conformément aux art. 82 ss de la loi fédérale sur le Tribunal fédéral du 17 juin 2005 (LTF; RS 173.110 ), la présente décision incidente peut être portée dans les trente jours qui suivent sa notification par-devant le Tribunal fédéral par la voie du recours en matière de droit public. Le recours doit être adressé au Tribunal fédéral, Schweizerhofquai 6, 6004 Lucerne.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