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AC/307/2020 vom 7. Februar 2020</w:t>
      </w:r>
    </w:p>
    <w:p>
      <w:r>
        <w:t>GE Cour de justice, 2020-02-07, FR</w:t>
      </w:r>
    </w:p>
    <w:p>
      <w:r>
        <w:rPr>
          <w:b/>
        </w:rPr>
        <w:t xml:space="preserve">Quelle: </w:t>
      </w:r>
      <w:r>
        <w:t>https://mcp.opencaselaw.ch/entscheid/ge_gerichte_AC_307_2020</w:t>
      </w:r>
    </w:p>
    <w:p>
      <w:r>
        <w:t>FR: GE_GERICHTE AC/307/2020 du 7 février 2020</w:t>
      </w:r>
    </w:p>
    <w:p>
      <w:r>
        <w:t>IT: GE_GERICHTE AC/307/2020 del 7 febbraio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w:t>
      </w:r>
    </w:p>
    <w:p>
      <w:r>
        <w:rPr>
          <w:b/>
        </w:rPr>
        <w:t>E. 3.2</w:t>
      </w:r>
    </w:p>
    <w:p>
      <w:r>
        <w:t>En l'espèce, le recourant n'est pas de langue maternelle française. Il a été victime d'un accident qui l'a rendu polyhandicapé de sorte qu'il a, pendant de longues années, bénéficié d'une curatelle de représentation et de gestion du patrimoine. Certes, cette curatelle a été levée. Une opposition à la décision de l'Hospice général constitue toutefois une démarche plus complexe qu'une gestion administrative domestique. A cela s'ajoute que le recourant doit se déplacer en chaise roulante, ce qui complique d'autant plus la prise de contact avec des autorités à caractère social pouvant lui venir en aide. Enfin, les intérêts en jeu sont importants pour le recourant et sa famille puisque la décision contestée a pour conséquence de les priver de leurs ressources financières, de sorte qu'il n'y a pas lieu d'attendre que la décision sur opposition soit rendue pour que le recourant puisse être assisté d'un avocat. La décision entreprise sera donc annulée et la cause sera renvoyée à l'autorité de première instance pour instruction et nouvelle décision, après examen des chances de succès et de la condition d'indigence.</w:t>
      </w:r>
    </w:p>
    <w:p>
      <w:r>
        <w:rPr>
          <w:b/>
        </w:rPr>
        <w:t>E. 4</w:t>
      </w:r>
    </w:p>
    <w:p>
      <w:r>
        <w:t>Sauf exceptions non réalisées en l'espèce, il n'est pas perçu de frais judiciaires pour la procédure d'assistance juridique (art. 119 al. 6 CPC). Compte tenu de l'issue du litige, l'Etat de Genève sera condamné à verser au recourant 400 fr. à titre de dépens (ATF 140 III 501 consid. 4). * * * * * PAR CES MOTIFS, LE VICE-PRÉSIDENT DE LA COUR : A la forme : Déclare recevable le recours formé le 5 mars 2020 par A______ contre la décision rendue le 7 février 2020 par la Vice-présidente du Tribunal de première instance dans la cause AC/307/2020. Au fond : Annule la décision entreprise et cela fait, statuant à nouveau : Renvoie la cause au Vice-président du Tribunal civil pour instruction complémentaire et nouvelle décision. Déboute A______ de toutes autres conclusions. Dit qu'il n'est pas perçu de frais judiciaires pour le recours. Condamne l'Etat de Genève, soit pour lui les Services financiers du Pourvoir judiciaire, à verser la somme de 400 fr. à A______ à titre de dépens. Notifie une copie de la présente décision à A______ en l'Étude de Me Magali ULANOWSKI (art. 137 CPC). Siégeant : Monsieur Patrick CHENAUX, Vice-président;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