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AC/306/2012 vom 28. Juli 2020</w:t>
      </w:r>
    </w:p>
    <w:p>
      <w:r>
        <w:t>GE Cour de justice, 2020-07-28, FR</w:t>
      </w:r>
    </w:p>
    <w:p>
      <w:r>
        <w:rPr>
          <w:b/>
        </w:rPr>
        <w:t xml:space="preserve">Quelle: </w:t>
      </w:r>
      <w:r>
        <w:t>https://mcp.opencaselaw.ch/entscheid/ge_gerichte_AC_306_2012</w:t>
      </w:r>
    </w:p>
    <w:p>
      <w:r>
        <w:t>FR: GE_GERICHTE AC/306/2012 du 28 juillet 2020</w:t>
      </w:r>
    </w:p>
    <w:p>
      <w:r>
        <w:t>IT: GE_GERICHTE AC/306/2012 del 28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Le recours devant être entièrement motivé dans le délai de recours (arrêt du Tribunal fédéral 5A_82/2013 du 18 mars 2013 consid. 3.2-3.4 et 4.3), il ne peut être donné suite à la demande du recourant à pouvoir le compléter.</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Au jour de la dissolution du régime matrimonial, les époux règlent leurs dettes réciproques (art. 205 al. 3 CC et 250 CC). Il est fréquent que la dette d'un époux envers l'autre résulte d'un prêt accordé par actes concluants. De même, la dette peut naître du fait qu'un époux rembourse seul une dette à un tiers, alors qu'elle incombe aux deux époux par moitié, voire à l'autre époux dans le régime interne. Dans ces hypothèse, la donation n'est pas présumée (arrêt du Tribunal fédéral 5A_87/2010 du 5 mai 2010 consid. 3.1 et les références citées), de telle sorte qu'il convient d'examiner l'échange de manifestations de volonté réciproques et concordantes entre les époux sur la base de leur intention réelle ou, à défaut, d'interpréter cet acte selon le principe de la confiance, en fonction de l'ensemble des circonstance (BURGAT, in Commentaire pratique, Droit matrimonial fond et procédure, 2016, n. 20 ad art. 205 CC). Les frais relatifs aux besoins de la famille constituent entre les époux des dettes d'entretien, de sorte que la répartition interne de leur charge se décide selon l'art. 163 CC, soit conformément à la répartition des tâches choisie par les époux (HAUSHEER/REUSSER/GEISSER, Berner Kommentar, 1999, n. 103 ad art. 166 CC).</w:t>
      </w:r>
    </w:p>
    <w:p>
      <w:r>
        <w:rPr>
          <w:b/>
        </w:rPr>
        <w:t>E. 2.2</w:t>
      </w:r>
    </w:p>
    <w:p>
      <w:r>
        <w:t>En l'espèce, le Tribunal a retenu, dans le jugement de divorce, que la dette (totalisant 14'111 fr. 85) relative aux frais médicaux de l'enfant commun des ex-époux devait, dans leurs relations internes, grever par moitié les acquêts de chaque membre du couple, puisque cela relevait de l'entretien de la famille. Le Tribunal a ensuite considéré que le recourant devait payer à son ex-épouse - qui avait fait l'objet d'une procédure d'exécution forcée pour l'intégralité des frais précités - les sommes de 9'994 fr. 65, correspondant au montant que l'assurance-maladie avait remboursé sur le compte bancaire de l'intéressé, ainsi que 2'058 fr. 60, correspondant à la moitié des frais médicaux non couverts par l'assurance ([14'111 fr. 85 - 9'994 fr. 65]/2). Dans son appel contre le jugement précité, le recourant fait notamment valoir qu'il ne serait pas établi que l'assurance-maladie aurait effectivement versé le montant précité sur son compte bancaire. Le recourant s'est par ailleurs prévalu du fait que quand bien même il aurait bénéficié d'un remboursement de la part de l'assurance-maladie, cette somme avait été dévolue aux dépenses courantes et à l'entretien de la famille, de sorte qu'il ne devrait rien rembourser à son ex-épouse. Dans la mesure où il résulte du dossier que l'ex-épouse du recourant ne s'est jamais acquittée des factures médicales concernant les traitements reçus par l'enfant du couple, la situation juridique relative au montant que le recourant a apparemment perçu de l'assurance-maladie en lien avec lesdits frais ne paraît pas si claire. Au demeurant, si le recourant devait transférer à son ex-épouse le montant de près de 10'000 fr. que l'assurance lui aurait versé à l'époque, rien n'indique que cette somme serait ensuite effectivement affectée au paiement de la dette relative aux frais médicaux datant de 2006 à 2008. Par ailleurs, le recourant se plaint à juste titre du fait que le Tribunal a mis la moitié des frais judiciaires à sa charge, puisque l'assistance juridique lui avait été octroyée pour la procédure de première instance. Compte tenu de ce qui précède, l'appel formé par le recourant ne semble, à première vue, pas dépourvu de toute chance de succès, contrairement à ce qu'a retenu la Vice-présidente du Tribunal de première instance. Par ailleurs, la condition d'indigence paraît remplie, dès lors que l'aide étatique a été octroyée au recourant en dernier lieu en mars 2018 et qu'il semble peu probable que sa situation financière se soit améliorée dans l'intervalle. La décision querellée sera donc annulée et le recourant sera mis au bénéfice de l'assistance juridique pour la procédure d'appel contre le jugement du Tribunal de première instance du 27 mai 2020, avec effet au 13 juillet 2020.</w:t>
      </w:r>
    </w:p>
    <w:p>
      <w:r>
        <w:rPr>
          <w:b/>
        </w:rPr>
        <w:t>E. 3</w:t>
      </w:r>
    </w:p>
    <w:p>
      <w:r>
        <w:t>Sauf exceptions non réalisées en l'espèce, il n'est pas perçu de frais judiciaires pour la procédure d'assistance juridique (art. 119 al. 6 CPC). * * * * * PAR CES MOTIFS, LE VICE-PRÉSIDENT DE LA COUR : Préalablement : Ordonne l'apport de la procédure C/2______/2014. A la forme : Déclare recevable le recours formé par A______ contre la décision rendue le 28 juillet 2020 par la Vice-présidente du Tribunal de première instance dans la cause AC/306/2012. Au fond : Annule la décision entreprise et cela fait, statuant à nouveau : Met A______ au bénéfice de l'assistance juridique pour la procédure d'appel contre le jugement JTPI/6227/2020 du 27 mai 2020, avec effet au 13 juillet 2020. Nomme Me E______, avocat, à cette fin. Déboute A______ de toutes autres conclusions. Dit qu'il n'est pas perçu de frais judiciaires pour le recours. Notifie une copie de la présente décision à A______ en l'Étude de Me E______ (art. 137 CPC).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