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AC/3022/2013 vom 20. Juni 2017</w:t>
      </w:r>
    </w:p>
    <w:p>
      <w:r>
        <w:t>GE Cour de justice, 2017-06-20, FR</w:t>
      </w:r>
    </w:p>
    <w:p>
      <w:r>
        <w:rPr>
          <w:b/>
        </w:rPr>
        <w:t xml:space="preserve">Quelle: </w:t>
      </w:r>
      <w:r>
        <w:t>https://mcp.opencaselaw.ch/entscheid/ge_gerichte_AC_3022_2013</w:t>
      </w:r>
    </w:p>
    <w:p>
      <w:r>
        <w:t>FR: GE_GERICHTE AC/3022/2013 du 20 juin 2017</w:t>
      </w:r>
    </w:p>
    <w:p>
      <w:r>
        <w:t>IT: GE_GERICHTE AC/3022/2013 del 20 giugno 2017</w:t>
      </w:r>
    </w:p>
    <w:p>
      <w:pPr>
        <w:pStyle w:val="Heading2"/>
      </w:pPr>
      <w:r>
        <w:t>Regeste</w:t>
      </w:r>
    </w:p>
    <w:p>
      <w:r>
        <w:t>REMBOURSEMENT DE FRAIS(ASSISTANCE)</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2.2</w:t>
      </w:r>
    </w:p>
    <w:p>
      <w:r>
        <w:t>En l'espèce, la recourante est actuellement âgée de 70 ans. On ne saurait suivre le premier juge lorsqu’il considère que l’on ne peut retenir que sa capacité financière future n’est pas nulle s’agissant d’une projection à long terme. En effet, il est établi que la recourante n’a pas cotisé aux assurances sociales de sorte qu’elle ne peut prétendre à des versements de leur part et celle-ci a dépassé l’âge de la retraite de sorte qu’on ne saurait lui imputer une capacité de gain hypothétique. En outre, les projections de la recourante sur son espérance de vie reposent sur un outil – les tables Stauffer &amp; Schaetzle – largement utilisé par le Tribunal fédéral pour ce type de calcul. C’est donc de manière très objective que l’on peut retenir que son espérance de vie est de 17 ans. Le capital de 122'900 fr. représente ainsi un revenu de l’ordre de 600 fr. par mois. Dès lors que les charges incompressibles de la recourante s’élèvent à plus de 3'000 fr. par mois et que ses ressources futures, provenant de son capital, peuvent être évaluées à 600 fr. par mois, la condition d’indigence est réalisée. Pour les mêmes raisons, on ne saurait, par anticipation, considérer que le montant – inférieur à 30'000 fr. – que la recourante pourrait percevoir à l’issue de la seconde procédure (C/_____1/2015) la mette hors de la situation d’indigence. Partant, le recours sera admis et la décision de la Vice-présidente du Tribunal sera annulée.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