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AC/2991/2017 vom 9. November 2017</w:t>
      </w:r>
    </w:p>
    <w:p>
      <w:r>
        <w:t>GE Cour de justice, 2017-11-09, FR</w:t>
      </w:r>
    </w:p>
    <w:p>
      <w:r>
        <w:rPr>
          <w:b/>
        </w:rPr>
        <w:t xml:space="preserve">Quelle: </w:t>
      </w:r>
      <w:r>
        <w:t>https://mcp.opencaselaw.ch/entscheid/ge_gerichte_AC_2991_2017</w:t>
      </w:r>
    </w:p>
    <w:p>
      <w:r>
        <w:t>FR: GE_GERICHTE AC/2991/2017 du 9 novembre 2017</w:t>
      </w:r>
    </w:p>
    <w:p>
      <w:r>
        <w:t>IT: GE_GERICHTE AC/2991/2017 del 9 novembre 2017</w:t>
      </w:r>
    </w:p>
    <w:p>
      <w:pPr>
        <w:pStyle w:val="Heading2"/>
      </w:pPr>
      <w:r>
        <w:t>Regeste</w:t>
      </w:r>
    </w:p>
    <w:p>
      <w:r>
        <w:t>CHANCES DE SUCCÈS</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 Au regard du renvoi contenu à l'art. 10 al. 4 LPA, il semble douteux que l'art. 63 LPA concernant la suspension des délais, et dont le recourant se prévaut, soit applicable à la présente procédure. La question peut toutefois demeurer indécise. L'art. 10 al. 4 LPA renvoie au RAJ, qui lui-même renvoie aux dispositions topiques du CPC (art. 8 al. 3 RAJ). En vertu de l'art. 119 al. 3 CPC, la procédure sommaire est applicable en matière d'assistance juridique. Selon l'art. 145 al. 2 let. b CPC, la suspension des délais ne s'applique pas à la procédure sommaire. Cette exception de l'art. 145 al. 2 let. b CPC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la décision entreprise mentionne uniquement le délai de recours de 30 jours, sans précisions en ce qui concerne une éventuelle suspension dudit délai. Au regard de ce qui précède, que l'on applique les règles de la LPA ou du CPC en matière de suspension des délais, il y a lieu de considérer que le recours interjeté le 5 janvier 2018, en la forme écrite prescrite par la loi, est recevable. En raison de l'échéance du délai de recours, il ne peut être donné suite à la conclusion du recourant tendant à compléter son recours (arrêt du Tribunal fédéral 5A_303/2012 du 30 août 2012 consid. 1.6).</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allégués de faits dont le recourant n'a pas fait état en première instance et les pièces nouvellement produites ne seront pas pris en considération. Par ailleurs, les pièces nouvelles que le recourant propose de produire ne seraient pas recevables. Pour le même motif, il ne sera pas donné suite à la demande du recourant tendant à l'apport de toutes les procédures pénales, civiles et d'assistance juridique le concernant depuis l'année 2005.</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Aux termes de l'art. 16c al. 1 LCR, commet notamment une infraction grave la personne qui en violant gravement les règles de la circulation, met sérieusement en danger la sécurité d'autrui ou en prend le risque (let. a) ou conduit un véhicule automobile alors que le permis de conduire lui a été retiré (let. f). Selon l'al. 2 de cette disposition,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(let. c). D’après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phrase (qui concerne les conducteurs d'un véhicule du service du feu, du service de santé, de la police ou de la douane) (cf. également ATF 135 II 334 consid. 2.2; 132 II 234 consid. 2.3; arrêt du Tribunal fédéral 1C_188/2010 du 6 septembre 2010 consid. 2.1; ATA/552/2012 précité). D’après la jurisprudence du Tribunal fédéral, l’état de nécessité prévu aux art. 17 et 18 du code pénal suisse du 21 décembre 1937 (CP - RS 311.0) est applicable par analogie aux mesures administratives (arrêt du Tribunal fédéral 1C.44/2007 du 11 juillet 2007 consid. 3.2). Il suppose notamment que l’auteur agisse aux fins d’écarter un danger imminent, soit un danger non seulement actuel, mais encore concret et que l’infraction commise constitue un moyen approprié pour parvenir au résultat espéré. En matière de circulation automobile, le Tribunal fédéral a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116 IV 364 consid. 1a p. 366; 113 Ib 143 consid. 3 pp. 146-147; 106 IV 1 consid. 2c p. 4; ATA/576/2011 du 6 septembre 2011; ATA/65/1998 du 17 mars 1998). Au surplus, l’auteur de l’acte illicite doit le limiter dans toute la mesure du possible et l’acte en question doit être nécessaire et adéquat (arrêt du Tribunal fédéral 6A.28/2003 du 11 juillet 2002, consid. 2.2; TRECHSEL, op. cit. ch. 10 ad art. 34 et la jurisprudence citée).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s. et les références).</w:t>
      </w:r>
    </w:p>
    <w:p>
      <w:r>
        <w:rPr>
          <w:b/>
        </w:rPr>
        <w:t>E. 3.3</w:t>
      </w:r>
    </w:p>
    <w:p>
      <w:r>
        <w:t>En l'espèce, les infractions retenues par le Service cantonal des véhicules sont fondées sur les constatations de fait des juridictions pénales. A priori , rien ne permettait à l’autorité administrative de s'écarter de l'arrêt de la CPAR du 30 mai 2016, qui est définitif et exécutoire. La circonstance que la décision administrative ne précise pas le parcours emprunté par le recourant au moment des événements litigieux survenus le 30 novembre 2012 ne semble pas pertinente, puisque ladite décision se fonde sur l'état de fait détaillé résultant du jugement de la CPAR. Quoi qu'il en soit, le recourant ne conteste pas qu'il conduisait alors qu'il faisait l'objet d'une mesure de retrait de permis, ce qui constitue déjà une infraction grave à la LCR (cf. art. 16c al. 1 let. f LCR). Le retrait de son permis de conduire avait en effet été prononcé par décision du 13 mars 2012, en raison d'une infraction grave. Indépendamment de la question de savoir si les conditions strictes des art. 17 et 18 CP sont remplies en ce qui concerne les événements du 30 novembre 2012, tel que le soutient le recourant, il n'en demeure pas moins que la durée de 12 mois du retrait de permis prononcé le 9 août 2017 par le Service cantonal des véhicules est conforme au minimum légal institué par l’art. 16c al. 2 let. c LCR, auquel il ne peut être dérogé. Compte tenu de ce qui précède, c'est à juste titre que le Vice-président du Tribunal civil a refusé d'accorder le bénéfice de l'assistance juridique au recourant au motif que sa cause paraissait dénuée de chances de succès. Pour le surplus, les conditions de chances de succès et d'indigence étant cumulatives, et la première des deux n'étant pas remplie, l'autorité de première instance n'a pas violé le droit en n'examinant pas la situation financière du recourant et en ne l'entendant pas sur ce point.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 PAR CES MOTIFS, LE VICE-PRÉSIDENT DE LA COUR : A la forme : Déclare recevable le recours formé par A______ contre la décision rendue le 9 novembre 2017 par le Vice-président du Tribunal civil dans la cause AC/2991/2017.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Fatina SCHAERER, greffière. Le vice-président : Patrick CHENAUX La greffière : Fatina SCHAERER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