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AC/298/2018 vom 29. Juni 2016</w:t>
      </w:r>
    </w:p>
    <w:p>
      <w:r>
        <w:t>GE Cour de justice, 2016-06-29, FR</w:t>
      </w:r>
    </w:p>
    <w:p>
      <w:r>
        <w:rPr>
          <w:b/>
        </w:rPr>
        <w:t xml:space="preserve">Quelle: </w:t>
      </w:r>
      <w:r>
        <w:t>https://mcp.opencaselaw.ch/entscheid/ge_gerichte_AC_298_2018</w:t>
      </w:r>
    </w:p>
    <w:p>
      <w:r>
        <w:t>FR: GE_GERICHTE AC/298/2018 du 29 juin 2016</w:t>
      </w:r>
    </w:p>
    <w:p>
      <w:r>
        <w:t>IT: GE_GERICHTE AC/298/2018 del 29 giugno 2016</w:t>
      </w:r>
    </w:p>
    <w:p>
      <w:pPr>
        <w:pStyle w:val="Heading2"/>
      </w:pPr>
      <w:r>
        <w:t>Regeste</w:t>
      </w:r>
    </w:p>
    <w:p>
      <w:r>
        <w:t>CHANCES DE SUCCÈS ; FORCE FORMELLE ; DROIT DES ÉTRANGERS</w:t>
      </w:r>
    </w:p>
    <w:p>
      <w:pPr>
        <w:pStyle w:val="Heading2"/>
      </w:pPr>
      <w:r>
        <w:t>Erwägungen</w:t>
      </w:r>
    </w:p>
    <w:p>
      <w:r>
        <w:rPr>
          <w:b/>
        </w:rPr>
        <w:t>E. 1.1</w:t>
      </w:r>
    </w:p>
    <w:p>
      <w:r>
        <w:t>En tant qu'elles refusent l'assistance juridique, les décisions entreprises sont sujettes à recours auprès de la présidente de la Cour de justice (art. 10 al. 3 LPA), compétence expressément déléguée au vice-président soussigné sur la base des art. 29 al. 5 LOJ et 10 al. 1 du Règlement de la Cour de justice (RSG E 2 05.47). Les recours, écrits et motivés, sont introduits auprès de l'instance de recours dans un délai de trente jours (art. 10 al. 3 LPA; 130, 131 et 321 al. 1 CPC, applicables par renvoi des art. 10 al. 4 LPA et 8 al. 3 RAJ; arrêts du Tribunal fédéral 2D_73/2015 du 30 juin 2016 consid. 5.1; 1B_171/2011 du 15 juin 2011 consid. 2.2).![endif]&gt;![if&gt;</w:t>
      </w:r>
    </w:p>
    <w:p>
      <w:r>
        <w:rPr>
          <w:b/>
        </w:rPr>
        <w:t>E. 1.2</w:t>
      </w:r>
    </w:p>
    <w:p>
      <w:r>
        <w:t>En l'espèce, les deux recours se rapportent à la même procédure et présentent un lien de connexité, de sorte qu'il y a lieu de les joindre par économie de procédure (art. 125 let. c CPC). Lesdits recours sont recevables pour avoir été interjetés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et 1B_171/2011 précité consid. 2).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La situation doit être appréciée à la date du dépôt de la requête et sur la base d'un examen sommaire (ATF 142 III 138 précité consid. 5.1 et les arrêts cités; 133 III 614 consid. 5). L'examen des chances de succès ne peut être renvoyé à l'issue de la procédure de première instance, ni alors être révoquée à cet égard au vu de la tournure finalement prise par le procès (TAPPY, Code de procédure civile commenté, 2011, n. 34 ad art. 117 CPC et la référence citée).</w:t>
      </w:r>
    </w:p>
    <w:p>
      <w:r>
        <w:rPr>
          <w:b/>
        </w:rPr>
        <w:t>E. 3.2</w:t>
      </w:r>
    </w:p>
    <w:p>
      <w:r>
        <w:t>Selon la jurisprudence, la décision d'octroi ou de refus de l'assistance judiciaire est une ordonnance d'instruction qui n'entre en force de chose jugée que formelle, et non matérielle. Une nouvelle requête qui est fondée sur un changement des circonstances (vrais nova )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(pseudo nova ; arrêt du Tribunal fédéral 5A_886/2017 du 20 mars 2018 consid. 3.3.2 et la jurisprudence citée).</w:t>
      </w:r>
    </w:p>
    <w:p>
      <w:r>
        <w:rPr>
          <w:b/>
        </w:rPr>
        <w:t>E. 3.3</w:t>
      </w:r>
    </w:p>
    <w:p>
      <w:r>
        <w:t>A teneur de l'art. 21 LPA, l'autorité administrative peut ordonner, d'office ou sur requête, des mesures provisionnelles lorsqu'il est nécessaire de régler provisoirement la situation en cause, jusqu'au prononcé de la décision finale. Les mesures provisionnelles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w:t>
      </w:r>
    </w:p>
    <w:p>
      <w:r>
        <w:rPr>
          <w:b/>
        </w:rPr>
        <w:t>E. 3.4</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135 I 143 consid. 1.3.1). Les relations familiales susceptibles de fonder, en vertu de l'art. 8 CEDH, un droit à une autorisation de police des étrangers sont avant tout les rapports entre époux ainsi qu'entre parents et enfants mineurs vivant ensemble (ATF 127 II 60 consid. 1d/aa; 120 Ib 257 consid. 1d).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137 I 351 ; arrêts du Tribunal fédéral 2C_1035/2012 du 21 décembre 2012 consid. 5.1; 2C_207/2012 du 31 mai 2012 consid. 3.3; 2C_206/2010 du 23 août 2010 consid. 2.1 et 2.3 et les références citées). Les signes indicateurs d'une relation étroite et effective sont en particulier le fait d'habiter sous le même toit, la dépendance financière, des liens familiaux particulièrement proches, des contacts réguliers (ATF 135 I 143 consid. 3.1; arrêt du Tribunal fédéral 2C_435/2014 du 13 février 2015 consid. 4.1).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(arrêt du Tribunal fédéral 2C_1035/2012 précité consid. 5.1). La mise en œuvre d'une procédure préparatoire de mariage suppose toutefois en premier lieu que le mariage précédent ait été dissous, la condition d'un mariage imminent n'étant, à défaut, pas remplie (arrêt du Tribunal fédéral 2C_1035/2012 précité consid. 5.2).</w:t>
      </w:r>
    </w:p>
    <w:p>
      <w:r>
        <w:rPr>
          <w:b/>
        </w:rPr>
        <w:t>E. 3.5</w:t>
      </w:r>
    </w:p>
    <w:p>
      <w:r>
        <w:t>En l'espèce, en tant qu'il se fonde sur les considérants du jugement du TAPI du 26 février 2018 pour se plaindre de ce que l'autorité de première instance aurait considéré - à tort - que le courrier de l'OCPM du 6 novembre 2017 ne constituait pas une décision susceptible de recours, le recourant perd de vue que la tournure finalement prise par le procès ne doit pas entrer en ligne de compte lors de l'examen des chances de succès de la requête d'assistance juridique, qui doit être apprécié à la date du dépôt de la demande, à savoir, en l'occurrence, le 30 janvier 2018, étant rappelé que l'autorité de recours doit statuer sur un état de fait identique à celui soumis au premier juge. Le seul fait que l'autorité de première instance soit parvenue, sur la base d'un examen prima facie en procédure sommaire et sans instruction approfondie, à un résultat différent de celui auquel est finalement arrivé le TAPI ne suffit ainsi pas à révoquer sa décision. Ce d'autant plus que, dans sa décision de refus du 13 février 2018, l'autorité de première instance s'est fondée sur une double motivation, invoquant à la fois l'absence de décision sujette à recours, ainsi que l'absence de chances de succès au fond. Le recourant ne pouvait également pas se prévaloir du jugement du 26 février 2018 pour demander la reconsidération de la décision de rejet du 13 février 2018, dès lors que ce jugement n'avait pas encore été rendu au moment du prononcé de la décision dont la reconsidération était requise. Il sied à cet égard de rappeler que lorsque les circonstances se modifient de façon décisive et que ceci peut être établi par pièces, ces nouveaux documents doivent être produits devant l'instance précédente avec une (nouvelle) requête d'assistance juridique, fondée sur les faits modifiés. Quant au grief relatif à la violation de son droit d'être entendu, invoqué à l'appui de la demande de reconsidération du 12 mars 2018 et pour la première fois devant l'autorité de recours saisie du recours dirigé contre la décision du 13 février 2017, sa recevabilité est douteuse, puisque, comme indiqué précédemment, les chances de succès d'une procédure doivent être appréciées sur la base de la situation prévalant à la date du dépôt de la requête d'aide étatique. Cela étant, cette question peut demeurer indécise, dès lors que cet argument nouveau ne paraît a priori pas conférer davantage de chances de succès aux démarches du recourant. En effet, il n'apparaît de toute manière pas que le recourant dispose d'un droit à obtenir une autorisation de police des étrangers fondé sur l'art. 8 §1 CEDH, puisqu'étant encore marié avec son ancienne compagne et la procédure de divorce - si elle a été introduite - n'étant qu'à ses balbutiements, il ne saurait être considéré que le mariage du recourant avec sa nouvelle compagne soit imminent au sens de la jurisprudence du Tribunal fédéral. Or, en l'absence de mariage imminent, la question de la durée de la vie commune entre le recourant et sa nouvelle compagne, de même que leurs éventuels projets d'adoption, n'apparaissent pas déterminants. Compte tenu des faits portés à sa connaissance, c'est ainsi à bon droit que l'autorité de première instance a considéré que le recours dirigé contre la décision de l'OCPM du 6 novembre 2017 n'apparaissait pas suffisamment prometteur du point de vue d'une partie raisonnable. Par ailleurs, dès lors que l'existence d'une procédure de divorce n'implique pas la présence continue du recourant en Suisse - les démarches pouvant être poursuivies depuis l'étranger et le recourant pouvant bénéficier, cas échéant, d'un laisser-passer de l'OCPM pour assister aux actes de procédure nécessaires -, il est peu probable que la CACJ annule la décision du TAPI du 10 janvier 2018 qui rejetait la requête de mesures provisionnelles du recourant. Pour le surplus, l'instance de recours n'est pas compétente pour statuer sur une requête d'assistance juridique visant une procédure de recours contre un jugement rendu postérieurement aux décisions contestées devant elle (cf. art. 1 RAJ).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recevables les recours formés par A______ contre les décisions rendues les 13 février et 27 mars 2018 par le Vice-président du Tribunal civil dans la cause AC/298/2018. Au fond : Les rejette. Déboute A______ de toutes autres conclusions. Dit qu'il n'est pas perçu de frais judiciaires pour le recours, ni alloué de dépens. Notifie une copie de la présente décision à A______ en l'Étude de M e Pierre GABUS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