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AC/2960/2016 vom 24. Oktober 2016</w:t>
      </w:r>
    </w:p>
    <w:p>
      <w:r>
        <w:t>GE Cour de justice, 2016-10-24, FR</w:t>
      </w:r>
    </w:p>
    <w:p>
      <w:r>
        <w:rPr>
          <w:b/>
        </w:rPr>
        <w:t xml:space="preserve">Quelle: </w:t>
      </w:r>
      <w:r>
        <w:t>https://mcp.opencaselaw.ch/entscheid/ge_gerichte_AC_2960_2016</w:t>
      </w:r>
    </w:p>
    <w:p>
      <w:r>
        <w:t>FR: GE_GERICHTE AC/2960/2016 du 24 octobre 2016</w:t>
      </w:r>
    </w:p>
    <w:p>
      <w:r>
        <w:t>IT: GE_GERICHTE AC/2960/2016 del 24 ottobre 2016</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La détermination spontanée du recourant est également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vertu de l'art. 81 Loi sur la poursuite pour dette et la faillite, il n'existe aucun moyen de s'opposer au prononcé d'une mainlevée définitive de l'opposition, à moins que l'opposant ne prouve par titre que la dette a été éteinte ou qu'il a obtenu un sursis, postérieurement au jugement, ou qu'il ne se prévale de la prescription. Les créances relatives aux impôts, rappels d'impôts, amendes, intérêts et frais de l'Etat et des communes, se prescrivent par 5 ans à compter de l'entrée en force de la décision, du prononcé ou du jugement (art. 42 al. 1 Loi relative à la perception et aux garanties des impôts des personnes physiques et des personnes morales [LPGIP]). Un nouveau délai de prescription commence à courir lorsqu'une demande tendant à l'obtention d'une remise d'impôt est déposée (art. 22 al. 3 Loi de procédure fiscale, applicable par renvoi de l'art. 42 al. 2 LPGIP).</w:t>
      </w:r>
    </w:p>
    <w:p>
      <w:r>
        <w:rPr>
          <w:b/>
        </w:rPr>
        <w:t>E. 2.3</w:t>
      </w:r>
    </w:p>
    <w:p>
      <w:r>
        <w:t>En l'espèce, il convient en premier lieu de relever que l’autorité de céans n’est pas compétente pour statuer sur les conclusions du recourant concernant la demande de récusation du Vice-président du Tribunal civil (cf. art. 13 Loi d'application du code civil suisse et d'autres lois fédérales en matière civile) et la validité des commandements de payer qui lui ont été notifiés, ou pour statuer sur l'effet suspensif ou une prolongation de délai ou toute autre question concernant directement la procédure au fond. Par ailleurs, au regard des éléments ressortant de l'un des jugements de mainlevée et des principes rappelés ci-dessus, c'est à bon droit que le Vice-président du Tribunal civil a considéré que la procédure du recourant était dépourvue de chances de succès. En effet, il semble peu probable que les créances de l'AFC soient prescrites.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Préalablement : Ordonne l'apport des procédures C/9469/2016, C/9471/2016, C/10009/2016, C/10594/2016, C/10595/2016, C/10596/2016, C/11242/2016, C/11382/2016, C/11383/2016, C/11503/2016 et C/11504/2016 A la forme : Déclare recevable le recours formé par A_______ contre la décision rendue le 24 octobre 2016 par le Vice-président du Tribunal civil dans la cause AC/2960/2016. Au fond : Le rejette. Déboute A_______ de toutes autres conclusions. Dit qu'il n'est pas perçu de frais judiciaires pour le recours. Notifie une copie de la présente décision à A_______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