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AC/2938/2012 vom 14. Januar 2013</w:t>
      </w:r>
    </w:p>
    <w:p>
      <w:r>
        <w:t>GE Cour de justice, 2013-01-14, FR</w:t>
      </w:r>
    </w:p>
    <w:p>
      <w:r>
        <w:rPr>
          <w:b/>
        </w:rPr>
        <w:t xml:space="preserve">Quelle: </w:t>
      </w:r>
      <w:r>
        <w:t>https://mcp.opencaselaw.ch/entscheid/ge_gerichte_AC_2938_2012</w:t>
      </w:r>
    </w:p>
    <w:p>
      <w:r>
        <w:t>FR: GE_GERICHTE AC/2938/2012 du 14 janvier 2013</w:t>
      </w:r>
    </w:p>
    <w:p>
      <w:r>
        <w:t>IT: GE_GERICHTE AC/2938/2012 del 14 gennaio 2013</w:t>
      </w:r>
    </w:p>
    <w:p>
      <w:pPr>
        <w:pStyle w:val="Heading2"/>
      </w:pPr>
      <w:r>
        <w:t>Regeste</w:t>
      </w:r>
    </w:p>
    <w:p>
      <w:r>
        <w:t>DÉNUEMENT | Cst.29.3; CPC.117.A; CPC.326.1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1.3</w:t>
      </w:r>
    </w:p>
    <w:p>
      <w:r>
        <w:t>En l'espèce, le recours, déposé dans le délai utile et en la forme écrite prescrite par la loi, est recevable. La recourante ne conclut pas formellement à ce que la décision soit annulée. Ce serait toutefois faire preuve de formalisme excessif de déclarer son recours irrecevable alors qu'il ressort de son acte d'appel que la recourante, agissant en personne, sollicite la réformation de la décision litigieuse.</w:t>
      </w:r>
    </w:p>
    <w:p>
      <w:r>
        <w:rPr>
          <w:b/>
        </w:rPr>
        <w:t>E. 2</w:t>
      </w:r>
    </w:p>
    <w:p>
      <w:r>
        <w:t>À teneur de l'art. 326 al. 1 CPC, les conclusions et les allégations de faits nouvelles sont irrecevables dans le cadre d'une procédure de recours. Par conséquent, les allégations de faits nouvelles indiquant que la recourante a retrouvé un emploi et portant sur le paiement d'impôts dont elle n'a pas fait état en première instance sont irrecevables.</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relevants étant pris en considération (ATF 135 I 221 consid. 5.1 ; ATF 120 Ia 179 consid. 3a ; SJ 1997 p. 670). S’agissant des charges, il y a lieu de retenir uniquement les montants dont le recourant a démontré le paiement effectif (SJ 2000 II 199 p. 213). La situation économique existant au moment du dépôt de la requête est déterminante (ATF 135 I 221 consid. 5.1 ; ATF 120 Ia 179 consid. 3a).</w:t>
      </w:r>
    </w:p>
    <w:p>
      <w:r>
        <w:rPr>
          <w:b/>
        </w:rPr>
        <w:t>E. 3.2</w:t>
      </w:r>
    </w:p>
    <w:p>
      <w:r>
        <w:t>En l'espèce, c’est à juste titre que la recourante reproche au premier juge d’avoir retenu qu’elle percevait des indemnités de l’assurance-chômage à raison d’environ 4'500 fr. par mois. En effet, il ressort des documents transmis par la recourante au premier juge que ses droits en la matière se sont éteints le 6 décembre 2012, soit 3 jours après le dépôt de sa requête. Par conséquent, le recours est admis.</w:t>
      </w:r>
    </w:p>
    <w:p>
      <w:r>
        <w:rPr>
          <w:b/>
        </w:rPr>
        <w:t>E. 4</w:t>
      </w:r>
    </w:p>
    <w:p>
      <w:r>
        <w:t>La décision sera annulée et la cause renvoyée à la vice-présidente du Tribunal civil (art. 327 al. 3 let. a CPC) aux fins de d'examiner, notamment, si la condition d'indigence est réalisée et si la procédure envisagée à des chances de succès.</w:t>
      </w:r>
    </w:p>
    <w:p>
      <w:r>
        <w:rPr>
          <w:b/>
        </w:rPr>
        <w:t>E. 5</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14 janvier 2013 par la Vice-présidente du Tribunal civil dans la cause AC/2936/2012.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