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AC/2925/2018 vom 13. Dezember 2018</w:t>
      </w:r>
    </w:p>
    <w:p>
      <w:r>
        <w:t>GE Cour de justice, 2018-12-13, FR</w:t>
      </w:r>
    </w:p>
    <w:p>
      <w:r>
        <w:rPr>
          <w:b/>
        </w:rPr>
        <w:t xml:space="preserve">Quelle: </w:t>
      </w:r>
      <w:r>
        <w:t>https://mcp.opencaselaw.ch/entscheid/ge_gerichte_AC_2925_2018</w:t>
      </w:r>
    </w:p>
    <w:p>
      <w:r>
        <w:t>FR: GE_GERICHTE AC/2925/2018 du 13 décembre 2018</w:t>
      </w:r>
    </w:p>
    <w:p>
      <w:r>
        <w:t>IT: GE_GERICHTE AC/2925/2018 del 13 dicembre 2018</w:t>
      </w:r>
    </w:p>
    <w:p>
      <w:pPr>
        <w:pStyle w:val="Heading2"/>
      </w:pPr>
      <w:r>
        <w:t>Regeste</w:t>
      </w:r>
    </w:p>
    <w:p>
      <w:r>
        <w:t>CHANCES DE SUCCÈS ; FRAIS DE LA PROCÉDURE ; ADMISSION DE LA DEMANDE ; DÉCISION DE RENVOI</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D'après l'art. 50 CPC, la partie qui entend obtenir la récusation d'un magistrat ou d'un fonctionnaire judiciaire la demande au tribunal aussitôt qu'elle a eu connaissance du motif de récusation. Elle doit rendre vraisemblables les faits qui motivent sa demande. Les demandes de récusation visant un juge ou un fonctionnaire du Tribunal civil sont tranchées par une délégation de 5 juges, dont le président ou un vice-président et 4 juges titulaires. La chambre civile de la Cour de justice est compétente pour connaître des recours.</w:t>
      </w:r>
    </w:p>
    <w:p>
      <w:r>
        <w:rPr>
          <w:b/>
        </w:rPr>
        <w:t>E. 2.2</w:t>
      </w:r>
    </w:p>
    <w:p>
      <w:r>
        <w:t>Le Vice-président de la Cour n'étant pas l'autorité compétente pour statuer sur une demande de récusation visant un magistrat du Tribunal civil, la demande de récusation formée contre le Vice-président du Tribunal civil par le recourant est irrecevable.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7 RTFMC, lorsqu'une cause est retirée, transigée, déclarée irrecevable, jointe à une autre cause ou lorsque l'équité le justifie, l'émolument minimal peut être réduit, au maximum à concurrence des ¾, mais, en principe, pas en deçà d'un solde de 1'000 fr. (al. 1). Lorsque des circonstances particulières le justifient, il peut être entièrement renoncé à la fixation d'un émolument (al. 2). D'après l'art. 25 RTFMC, l'émolument forfaitaire pour une décision de restitution en cas de défaut est fixé entre 300 fr. et 2'000 fr.</w:t>
      </w:r>
    </w:p>
    <w:p>
      <w:r>
        <w:rPr>
          <w:b/>
        </w:rPr>
        <w:t>E. 3.3</w:t>
      </w:r>
    </w:p>
    <w:p>
      <w:r>
        <w:t>En l'espèce, vu la décision d'irrecevabilité rendue par le Tribunal et la situation financière apparemment modeste du recourant, il ne paraît pas impossible, compte tenu des règles rappelées ci-dessus, que la Cour décide de renoncer à la perception d'émoluments, tant en ce qui concerne la première que la seconde instance (cf. sur ce point notamment ACJC/433/2018 ). La cause du recourant ne paraissant pas dénuée de chances de succès, la décision entreprise sera annulée et la cause renvoyée au Vice-président du Tribunal civil pour examen de la condition d'indigence, étant rappelé que l'assistance juridique sollicitée par le recourant est limitée à la prise en charge de l'avance de frais sollicitée par la Cour dans la cause C/1______/2017.</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irrecevable la demande de récusation dirigée contre le Vice-président du Tribunal civil. Déclare recevable le recours formé par A______ contre la décision rendue le 13 décembre 2018 par le Vice-président du Tribunal civil dans la cause AC/2925/2018. Au fond : Annule la décision entreprise et cela fait, statuant à nouveau : Renvoie la cause au Vice-président du Tribunal civil pour instruction complémentaire et nouvelle décision au sens des considérants. Déboute A______ de toutes autres conclusions. Dit qu'il n'est pas perçu de frais judiciaires pour le recours , ni alloué de dépens .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