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AC/2895/2022 vom 21. März 2024</w:t>
      </w:r>
    </w:p>
    <w:p>
      <w:r>
        <w:t>GE Cour de justice, 2024-03-21, FR</w:t>
      </w:r>
    </w:p>
    <w:p>
      <w:r>
        <w:rPr>
          <w:b/>
        </w:rPr>
        <w:t xml:space="preserve">Quelle: </w:t>
      </w:r>
      <w:r>
        <w:t>https://mcp.opencaselaw.ch/entscheid/ge_gerichte_AC_2895_2022</w:t>
      </w:r>
    </w:p>
    <w:p>
      <w:r>
        <w:t>FR: GE_GERICHTE AC/2895/2022 du 21 mars 2024</w:t>
      </w:r>
    </w:p>
    <w:p>
      <w:r>
        <w:t>IT: GE_GERICHTE AC/2895/2022 del 21 marzo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rPr>
          <w:b/>
        </w:rPr>
        <w:t>E. 1.2</w:t>
      </w:r>
    </w:p>
    <w:p>
      <w:r>
        <w:t>En l'espèce, le recourant sollicite la restitution du délai imparti pour produire l'actualisation des pièces relatives à sa situation financière. Cela implique l’obligation pour l’autorité intimée de statuer sur la recevabilité de la requête du recourant et, le cas échéant, de rendre une nouvelle décision en tenant compte des pièces produites tardivement. Dans ces conditions, le recours est irrecevable. Par conséquent, la requête d'effet suspensif est également irrecevable. La requête du recourant sera transmise à l'Autorité de première instance pour instruction et nouvelle décision.</w:t>
      </w:r>
    </w:p>
    <w:p>
      <w:r>
        <w:rPr>
          <w:b/>
        </w:rPr>
        <w:t>E. 2</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15 avril 2024 par A______ contre la décision rendue le 21 mars 2024 par la vice-présidence du Tribunal civil dans la cause AC/2895/2022. Transmet la requête de restitution de délai à l'Autorité de première instance pour instruction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