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AC/288/2017 vom 17. März 2017</w:t>
      </w:r>
    </w:p>
    <w:p>
      <w:r>
        <w:t>GE Cour de justice, 2017-03-17, FR</w:t>
      </w:r>
    </w:p>
    <w:p>
      <w:r>
        <w:rPr>
          <w:b/>
        </w:rPr>
        <w:t xml:space="preserve">Quelle: </w:t>
      </w:r>
      <w:r>
        <w:t>https://mcp.opencaselaw.ch/entscheid/ge_gerichte_AC_288_2017</w:t>
      </w:r>
    </w:p>
    <w:p>
      <w:r>
        <w:t>FR: GE_GERICHTE AC/288/2017 du 17 mars 2017</w:t>
      </w:r>
    </w:p>
    <w:p>
      <w:r>
        <w:t>IT: GE_GERICHTE AC/288/2017 del 17 marzo 2017</w:t>
      </w:r>
    </w:p>
    <w:p>
      <w:pPr>
        <w:pStyle w:val="Heading2"/>
      </w:pPr>
      <w:r>
        <w:t>Regeste</w:t>
      </w:r>
    </w:p>
    <w:p>
      <w:r>
        <w:t>ACTION EN PARTAGE SUCCESSORAL ; LIBÉRALITÉ ; CONSORITÉ ; LÉGITIMATION ACTIVE ET PASSIVE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la pièce nouvellement produite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semblaient extrêmement faibles.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succession s'ouvre par la mort (art. 537 al. 1 CC).</w:t>
      </w:r>
    </w:p>
    <w:p>
      <w:r>
        <w:rPr>
          <w:b/>
        </w:rPr>
        <w:t>E. 3.2.1</w:t>
      </w:r>
    </w:p>
    <w:p>
      <w:r>
        <w:t>Lorsque le de cujus laisse plusieurs héritiers (légaux ou institués), ceux-ci forment de plein droit une communauté héréditaire et deviennent propriétaires communs des biens successoraux et débiteurs solidaires des dettes (art. 560 al. 1 et 2, art. 602 al. 1 CC). Les héritiers choisissent librement le moment et le mode de partage, qui se déroulera selon leur volonté (art. 607 al. 2 CC). A défaut d'entente, chacun a, sous réserve de quelques exceptions, le droit de demander le partage de la succession en tout temps, en vue de transformer la propriété collective des héritiers en plusieurs propriétés individuelles (art. 604 al. 1 CC). Cette action, de nature formatrice, doit être intentée contre tous les cohéritiers (consorité nécessaire), dès lors qu'elle aboutit à un jugement qui sortit ses effets à l'égard de tous les héritiers et qu'elle touche au sort de biens dont ils sont titulaires en commun (ATF 130 III 550 consid. 2.1.1 et les références citées). Elle permet également de trancher, à titre préjudiciel, tous les autres litiges qui demeurent entre les héritiers, notamment l'obligation de rapporter (Maire, in Commentaire du droit des successions, 2012, n. 8 ad art. 604 CC; Steinauer, Le droit des successions, 2e éd. 2015, n. 1283). Le juge examine d’office la légitimation active et passive des parties (ATF 126 III 59 consid. 1a). L'absence de légitimation active ou passive doit conduire à un déboutement, sans examen de la réalisation des éléments objectifs de la prétention litigieuse (arrêt du Tribunal fédéral 4C.353/2004 du 29 décembre 2004 consid. 2.1; ATF 126 III 59 consid. 1a; 108 II 216 consid. 1, in JdT 1983 I p. 361).</w:t>
      </w:r>
    </w:p>
    <w:p>
      <w:r>
        <w:rPr>
          <w:b/>
        </w:rPr>
        <w:t>E. 3.2.2</w:t>
      </w:r>
    </w:p>
    <w:p>
      <w:r>
        <w:t>Les héritiers légaux sont tenus l'un envers l'autre au rapport de toutes les libéralités entre vifs reçues à titre d'avancement d'hoirie (art. 626 al. 1 CC). La libéralité doit être destinée à créer, assurer ou améliorer l'établissement du descendant dans l'existence et le de cujus doit faire l’attribution en ayant conscience de favoriser l’attributaire (Steinauer, op. cit., n. 175 ss). Il appartient à celui qui se prévaut du rapport de prouver que la libéralité faite avait le caractère d'une dotation (Steinauer, op. cit., n. 186 et 186a).</w:t>
      </w:r>
    </w:p>
    <w:p>
      <w:r>
        <w:rPr>
          <w:b/>
        </w:rPr>
        <w:t>E. 3.3</w:t>
      </w:r>
    </w:p>
    <w:p>
      <w:r>
        <w:t>En l'espèce, le recourant a dirigé son action – qui tend notamment au partage de la succession de feue sa mère puisqu'il conclut à ce qu'une part des actifs de cette succession lui soit versée – exclusivement contre l'un de ses frères, alors que le fils de son autre frère ne semble pas avoir répudié la succession ni cédé ses droits. Son action en partage semble dès lors vouée à l'échec, faute de respecter la consorité passive nécessaire.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17 mars 2017 par la Vice-présidente du Tribunal civil dans la cause AC/288/2017.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