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AC/2801/2010 vom 28. Juni 2017</w:t>
      </w:r>
    </w:p>
    <w:p>
      <w:r>
        <w:t>GE Cour de justice, 2017-06-28, FR</w:t>
      </w:r>
    </w:p>
    <w:p>
      <w:r>
        <w:rPr>
          <w:b/>
        </w:rPr>
        <w:t xml:space="preserve">Quelle: </w:t>
      </w:r>
      <w:r>
        <w:t>https://mcp.opencaselaw.ch/entscheid/ge_gerichte_AC_2801_2010</w:t>
      </w:r>
    </w:p>
    <w:p>
      <w:r>
        <w:t>FR: GE_GERICHTE AC/2801/2010 du 28 juin 2017</w:t>
      </w:r>
    </w:p>
    <w:p>
      <w:r>
        <w:t>IT: GE_GERICHTE AC/2801/2010 del 28 giugno 2017</w:t>
      </w:r>
    </w:p>
    <w:p>
      <w:pPr>
        <w:pStyle w:val="Heading2"/>
      </w:pPr>
      <w:r>
        <w:t>Regeste</w:t>
      </w:r>
    </w:p>
    <w:p>
      <w:r>
        <w:t>RÉVOCATION(EN GÉNÉRAL) ; HONORAIRES ; AVOCAT</w:t>
      </w:r>
    </w:p>
    <w:p>
      <w:pPr>
        <w:pStyle w:val="Heading2"/>
      </w:pPr>
      <w:r>
        <w:t>Erwägungen</w:t>
      </w:r>
    </w:p>
    <w:p>
      <w:r>
        <w:rPr>
          <w:b/>
        </w:rPr>
        <w:t>E. 1</w:t>
      </w:r>
    </w:p>
    <w:p>
      <w:r>
        <w:t>1.1.1 L'assistance judiciaire en matière civile est prévue par les art. 117 à 123 CPC, dispositions qui sont elles-mêmes complétées par le Règlement sur l'assistance juridique et l'indemnisation des conseils juridiques et défenseurs d'office en matière civile, administrative et pénale (ci-après : RAJ). Le RAJ prévoit cinq types de décisions, à savoir la décision d'octroi (art. 5 RAJ), la décision de refus (art. 14 al. 2 RAJ), la décision de retrait (art. 11 RAJ), la décision de taxation (art. 18 RAJ) et la décision de remboursement (art. 19 RAJ). Ces décisions sont de la compétence du président du Tribunal civil, à l'exception de la décision de taxation qui émane du greffe de l'Assistance juridique (art. 18 al. 1 RAJ) et qui peut faire l’objet d’une demande de reconsidération auprès du président du Tribunal civil dans les 10 jours dès sa notification (art. 18 al. 1 et 2 RAJ). La fixation de l'indemnité du défenseur d'office (art. 122 al. 1 let. a et al. 2 CPC) par l'Assistance juridique est effectuée en procédure sommaire (art. 119 al. 3 CPC par analogie). La décision de reconsidération rendue par le président du Tribunal civil peut faire l’objet d’un recours, écrit et motivé, dans un délai de 10 jours, auprès du président de la Cour de justice qui est l’autorité compétente pour connaître des recours en matière d’assistance juridique (art. 21 al. 3 LaCC ; art. 321 al. 1 et 2 CPC ; DAAJ/93/2016 du 16 août 2016 consid. 1.1) Le conseil juridique dispose à titre personnel d'un droit de recours au sujet de la rémunération équitable accordée (ATF 131 V 153 consid. 1 ; Tappy, Code de procédure civile commenté, 2011, n. 22 ad art. 122 CPC). 1.2.1 En l'espèce, le recours dirigé contre la décision sur reconsidération rendue par le Vice-président du Tribunal civil relatif au montant de la taxation de la recourante est recevable pour avoir été interjeté dans le délai utile et en la forme écrite prescrite par la loi. 1.2.2 En revanche, la réponse donnée par la Vice-présidente du Tribunal civil à la recourante, par laquelle elle lui a fourni les raisons pour lesquelles elle ne prononcerait pas la révocation de l’assistance juridique accordée à B______, n’entre dans aucune des catégories de décisions prévues par le RAJ. Il ne s’agit donc pas d’une décision sujette à recours. Par conséquent, le recours est irrecevable à cet égard. Par surabondance, depuis l’entrée en vigueur du CPC le 1 er janvier 2011, en principe, le retrait de l'assistance judiciaire ne rétroagit pas (Message du Conseil fédéral du 28 juin 2006 relatif au code de procédure civile suisse, FF 2006 6841, p. 6914). Un effet rétroactif ( ex tunc ) ne peut qu'exceptionnellement entrer en considération, par exemple, lorsque l'assistance judiciaire a été indûment obtenue en présentant des informations fausses ou incomplètes (arrêts du Tribunal fédéral 4D_19/2016 du 11 avril 2016 consid. 4.5 et 5A_305/2013 du 19 août 2013 consid. 3.5). Certes, la doctrine considère que l’assistance juridique peut également être révoquée ex tunc si la procédure aboutit à l’allocation au bénéficiaire d’une somme importante. Dans tous les cas, il s’agit d’une possibilité pour les autorités de retirer l’assistance juridique et non d’une obligation. Le fait que la décision d’octroi de l’assistance juridique ait réservé le réexamen de sa situation financière de B______ à l’issue de la procédure, que la recourante l’ait par hypothèse informée que l’assistance juridique pourrait être révoquée à son égard en cas de succès des négociations et que B______ ait toujours par hypothèse accepté à l’égard de l’avocate commise d’office la possibilité de cette révocation, ne permet pas de retenir que B______ aurait eu un comportement contraire à la bonne foi justifiant une révocation de l’assistance juridique. Pour s’assurer de pouvoir être payée par B______ au tarif horaire ordinaire, la recourante aurait dû demander à l’assistance juridique de ne plus être commise d’office pour défendre les intérêts de B______, de manière à pouvoir conclure avec cette dernière un contrat de mandat ordinaire. Elle serait ainsi sortie de la relation tripartite dans laquelle le bénéficiaire de l'assistance judiciaire n'est pas lié au mandataire d'office par une obligation de rémunération, celle-ci étant assumée par l’Etat. Même si la situation financière du bénéficiaire s'améliore ultérieurement, l’Etat peut uniquement le condamner à lui rembourser les montants qu’il aura lui-même versés (ATF 141 III 560 consid. 3.2.2 et les références citées). Nommée d’office pour défendre les intérêts d’une personne mise au bénéfice de l’assistance juridique, la recourante était consciente de ce qu’elle ne pouvait prétendre à une rémunération fixée selon les règles du mandat mais qu’elle serait rémunérée équitablement dans le cadre des normes cantonales applicables (ATF 141 précité). Elle ne peut donc pas se prévaloir de sa liberté économique, étant relevé qu’elle sera indemnisée par l’Etat de manière appropriée. Par conséquent, l’intention exprimée par la Vice-présidente du Tribunal civil de ne pas révoquer l’assistance juridique accordée à B______ mais de la condamner à rembourser les frais de défense qui lui ont été avancés par l’Etat ne paraît pas critiquable.</w:t>
      </w:r>
    </w:p>
    <w:p>
      <w:r>
        <w:rPr>
          <w:b/>
        </w:rPr>
        <w:t>E. 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3</w:t>
      </w:r>
    </w:p>
    <w:p>
      <w:r>
        <w:t>La recourante conteste la manière dont le premier juge a taxé ses honoraires.</w:t>
      </w:r>
    </w:p>
    <w:p>
      <w:r>
        <w:rPr>
          <w:b/>
        </w:rPr>
        <w:t>E. 3.1</w:t>
      </w:r>
    </w:p>
    <w:p>
      <w:r>
        <w:t>Aux termes de l'art. 16 RAJ, l'indemnité due à l'avocat et au défenseur d'office en matière pénale est calculée selon le tarif horaire suivant, débours de l'étude inclus : 65 fr. pour un avocat stagiaire, 125 fr. pour un collaborateur et 200 fr. pour un chef d'étude, la TVA étant versée en sus (al. 1) ; seules les heures nécessaires sont retenues. Elles sont appréciées en fonction notamment de la nature, de l'importance, et des difficultés de la cause, de la valeur litigieuse, de la qualité du travail fourni et du résultat obtenu (al. 2). L'autorité compétente dispose d'un large pouvoir d'appréciation dans l'application des normes cantonales relatives à l'indemnisation de l'avocat d'office (arrêt du Tribunal fédéral 1P.713/2005 du 14 février 2006 consid. 2.1).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 D'après les directives du greffe de l'Assistance juridique du 17 décembre 2014 relatives à l'établissement de l'état de frais des avocats (disponibles sur le site Internet http://ge.ch/justice/greffe-de-lassistance-juridique), il a notamment été décidé d'introduire, en ce qui concerne les courriers et téléphones en matière civile, un forfait global correspondant à 50% de l'activité déployée pour les autres postes (conférences, procédure et audiences). Cela étant, il est précisé que "l’application systématique de ce nouveau forfait pourrait dans certains cas aboutir à un résultat inéquitable, voire choquant, parfois vers le bas mais plus souvent vers le haut s'agissant des états de frais indiquant un nombre d'heures particulièrement important pour des procédures de longue durée. Nous nous réservons donc le droit de procéder à une application nuancée de ladite règle lorsqu'il s'avérera nécessaire d'en corriger les effets pervers conformément aux principes découlant de l'art 19 al. 3 [a]RAJ". Concernant le forfait relatif à la majoration des honoraires pour le temps consacré aux conférences téléphoniques et à la rédaction de courriers, le Tribunal fédéral a considéré qu'en fixant un forfait en fonction de l'importance de l'activité déployée et calculé sur la base de 20% jusqu'à 30 heures d'activité (dans une procédure pénale) et de 10% au-delà, les juridictions genevoises n'outrepassaient pas la large marge de manœuvre dont elles disposaient en la matière (arrêt du Tribunal pénal fédéral BB.2013.165 du 24 janvier 2014 consid. 4.2).</w:t>
      </w:r>
    </w:p>
    <w:p>
      <w:r>
        <w:rPr>
          <w:b/>
        </w:rPr>
        <w:t>E. 3.2</w:t>
      </w:r>
    </w:p>
    <w:p>
      <w:r>
        <w:t>En l’espèce, contrairement à ce que fait valoir la recourante il est aisé de déterminer comment le premier juge est parvenu à un total de 132 heures. Il a indiqué avoir soustrait des 206 heures revendiquées, la totalité des courriers, téléphones, fax et e-mail listés sous la rubrique « négociations » ainsi que 9 heures et 10 minutes de la rubrique « procédure ». C’est ainsi qu’il a gardé la totalité des heures d’ « entretiens » (53 h 35), la totalité des heures d’« audiences » (5 h 30) et les heures de « procédure » sous déduction de 9 h 10 (83 h 55 – 9 h 10 = 74 h 45), soit un total de 133 h 20, qu’en raison d’une probable erreur de calcul il a arrêté à 132 heures. C’est à juste titre que le premier juge a fait une totale abstraction des heures facturées sous la rubrique « négociations » dès lors que celle-ci se rapporte en réalité exclusivement à des communications par fax, courrier et téléphones, soit des activités qui sont comprises dans le forfait conférences téléphoniques et à la rédaction de courriers. En outre, vu que l’activité de la recourante a dépassé la centaine d’heures, l'Autorité de première instance n'a ni excédé son pouvoir d'appréciation, ni violé le principe de la proportionnalité en réduisant de 50 à 40% le forfait relatif à la majoration des honoraires de la recourante pour le temps consacré aux téléphones et aux courriers. En ne réduisant que de 10% le forfait de base, elle a tenu compte de ce que la cause avait été négociée essentiellement par courrier. En revanche, les « études de communication » ne consistant pas dans la rédaction des courriers en tant que telle mais dans la réflexion sur la position à adopter vis-à-vis de la partie adverse, soit l’étude du dossier, il n’y a pas lieu de retrancher ces heures de la rubrique « procédure », hormis un courrier sous les réserves d’usage (15 min le 27 novembre 2015), compris dans le forfait « courrier », et les observations à l’Assistance juridique (1 h 15 le 243 février 2017), qui n’ont pas à être facturées à B______ puisqu’elles concernent exclusivement le litige entre la recourante et ce service. Par conséquent le poste « procédure » sera arrêté à 82 h 25 min. (83 h 55 min – 1 h 30 min). Au vu de ce qui précède, la rémunération de la recourante sera fixée à 42’790 fr., soit 141 h 30 min. de travail (53 heures et 35 minutes d’« entretiens », 82 heures 25 minutes de « procédure » et 5 heures 30 minutes d’« audiences ») à 200 fr./heure (28'300 fr.), un forfait courriers/téléphones arrêté à 40% (11’320 fr., soit 40% de 28'300 fr.) et 8% de TVA (3'170 fr., soit 8% de (28'300 fr. + 11’320 fr.)). Compte tenu de la complexité et de l’issue de la procédure, B______ ayant obtenu une somme de 142'000 fr., le montant de cette rémunération apparaît raisonnable et équitable. La décision querellée sera réformée dans ce sens.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 d’autant plus s’il est au bénéfice d’un brevet d’avocat – peut ainsi agir seul sans l'aide d'un avocat (arrêts publiés DAAJ/112/2016 du 13 septembre 2016 ; DAAJ/34/2013 du 30 avril 2013 consid. 3). * * * * * PAR CES MOTIFS, LA VICE-PRÉSIDENTE DE LA COUR : A la forme : Déclare recevable le recours formé par A______ contre la décision rendue le 28 juin 2017 par la Vice-présidente du Tribunal civil dans la cause AC/2801/2010 en tant qu’il porte sur la taxation de ses honoraires. Le déclare irrecevable en tant qu’il porte sur la non révocation de l’assistance juridique octroyée à B______. Au fond : Modifie la décision querellée en ce sens que A______ sera indemnisée à hauteur de 42’790 fr. Déboute A______ de toutes autres conclusions. Dit qu'il n'est pas perçu de frais judiciaires pour le recours, ni alloué de dépens. Notifie une copie de la présente décision à A______ en l'Étude de M e (art. 137 CPC). Siégeant : Madame Sylvie DROIN, présidente;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