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AC/2800/2016 vom 28. Oktober 2016</w:t>
      </w:r>
    </w:p>
    <w:p>
      <w:r>
        <w:t>GE Cour de justice, 2016-10-28, FR</w:t>
      </w:r>
    </w:p>
    <w:p>
      <w:r>
        <w:rPr>
          <w:b/>
        </w:rPr>
        <w:t xml:space="preserve">Quelle: </w:t>
      </w:r>
      <w:r>
        <w:t>https://mcp.opencaselaw.ch/entscheid/ge_gerichte_AC_2800_2016</w:t>
      </w:r>
    </w:p>
    <w:p>
      <w:r>
        <w:t>FR: GE_GERICHTE AC/2800/2016 du 28 octobre 2016</w:t>
      </w:r>
    </w:p>
    <w:p>
      <w:r>
        <w:t>IT: GE_GERICHTE AC/2800/2016 del 28 ottobre 2016</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Vice-président du Tribunal civil d’avoir considéré que son appel n’aurait que peu de chances de succès alors que B______, son époux, n’est pas fondé à agir en revendication tant que le procès de divorce n’a pas pris fin dans son ensemble, ce qui ne peut être le cas tant qu’il n’a pas été définitivement jugé de l’annulation du mariage. Elle fait également valoir que son droit d’être entendu a été violé par le Tribunal de première instance.![endif]&gt;![if&gt;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Selon l’art. 641 al. 2 CC, le propriétaire d’une chose peut la revendiquer contre quiconque la détient sans droit et repousser toute usurpation. L’action en revendication n’est admise que s’il y a un trouble illicite de la maitrise du propriétaire et le propriétaire ne peut exercer ses droits que dans la limite de la loi (arrêt du Tribunal fédéral 5C.213/1992 du 17 mai 1993 consid. 4, in SJ 1993 p. 669). Si les époux ne s’entendent pas sur l’attribution du logement de la famille, le juge des mesures provisoires en cas de divorce statue sur ce point en prenant en considération toutes les circonstances importantes du cas particulier, cette décision restant ne vigueur jusqu’au prononcé du jugement de divorce (arrêt du Tribunal fédéral 5C.213/1992 précité). Dans ce contexte, le Tribunal fédéral a jugé que tant et aussi longtemps que le procès en divorce n’a pas pris fin dans son ensemble, la question de l’occupation de l’ancienne demeure commune relève de la seule compétence du juge des mesures provisoires (arrêts du Tribunal fédéral 4A_384/2008 du 9 décembre 2008 consid 5.1 ; 5C.213/1992 précité). 2.1.3 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Le droit d'être entendu est un grief de nature formelle, dont la violation entraîne l'annulation de la décision attaquée indépendamment des chances de succès du recours sur le fond (ATF 127 V 431 consid. 3d/aa). Pour que le droit d’être entendu soit respecté, il suffit que l'intéressé ait eu une occasion appropriée de s'exprimer, que ce soit oralement ou par écrit (ATF 134 I 140 consid. 5.3; 130 II 425 consid. 2.1). 2.2.1 En l'espèce, c’est à tort que la recourante fait valoir que selon la jurisprudence du Tribunal fédéral son époux ne peut pas revendiquer son appartement avant l’issue définitive du jugement de divorce. En effet, la jurisprudence mentionnée par la recourante ne fait que rappeler que l’attribution de la jouissance exclusive du domicile conjugal sur mesures provisoires à l’un des époux dans le cadre d’une procédure de divorce rend légitime l’occupation de ce logement par l’époux qui n’en serait pas propriétaire de sorte que le conjoint propriétaire ne peut revendiquer ce bien au nom de sa propriété. Il en va de même lors de prononcé de mesures protectrices de l’union conjugale. Or, en l’espèce, le juge des mesures protectrices de l’union conjugale a déjà considéré que le logement litigieux n’avait jamais été un domicile conjugal et il en a attribué la jouissance exclusive à l’époux de la recourante. Certes, la recourante pourra toujours tenter d’obtenir l’attribution de la jouissance exclusive de ce logement dans le cadre d’une procédure de divorce si l’action en annulation du mariage devait être annulée par la Cour. Cela étant, lorsque le Tribunal a prononcé l’évacuation de la recourante celle-ci n’était au bénéfice d’aucun droit découlant du mariage à l’occuper. Par conséquent, la décision d’évacuation prononcée par le Tribunal n’est pas critiquable. 2.2.2 Par ailleurs, la recourante s’est exprimée par écrit devant le Tribunal avant qu’il ne rende sa décision de sorte que son droit d’être entendu a, a priori , été respecté.</w:t>
      </w:r>
    </w:p>
    <w:p>
      <w:r>
        <w:rPr>
          <w:b/>
        </w:rPr>
        <w:t>E. 2.3</w:t>
      </w:r>
    </w:p>
    <w:p>
      <w:r>
        <w:t>Au vu de ce qui précède, c’est à juste titre que le premier juge a considéré que les chances de succès de l’appel formé par la recourante contre le jugement en évacuation du Tribunal étaient extrêmement faibles et qu’il a refusé, pour cette raison, de lui accorder le bénéfice de l’assistance juridique.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17 novembre 2016 par A______ contre la décision rendue le 28 octobre 2016 par le Vice-président du Tribunal civil dans la cause AC/2800/2016. Au fond : Le rejette. Déboute A______ de toutes autres conclusions. Dit qu'il n'est pas perçu de frais judiciaires pour le recours. Notifie une copie de la présente décision à A______ en l'Étude de M e Samir DJAZIRI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