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AC/2796/2013 vom 4. Dezember 2013</w:t>
      </w:r>
    </w:p>
    <w:p>
      <w:r>
        <w:t>GE Cour de justice, 2013-12-04, FR</w:t>
      </w:r>
    </w:p>
    <w:p>
      <w:r>
        <w:rPr>
          <w:b/>
        </w:rPr>
        <w:t xml:space="preserve">Quelle: </w:t>
      </w:r>
      <w:r>
        <w:t>https://mcp.opencaselaw.ch/entscheid/ge_gerichte_AC_2796_2013</w:t>
      </w:r>
    </w:p>
    <w:p>
      <w:r>
        <w:t>FR: GE_GERICHTE AC/2796/2013 du 4 décembre 2013</w:t>
      </w:r>
    </w:p>
    <w:p>
      <w:r>
        <w:t>IT: GE_GERICHTE AC/2796/2013 del 4 dicembre 2013</w:t>
      </w:r>
    </w:p>
    <w:p>
      <w:pPr>
        <w:pStyle w:val="Heading2"/>
      </w:pPr>
      <w:r>
        <w:t>Regeste</w:t>
      </w:r>
    </w:p>
    <w:p>
      <w:r>
        <w:t>DÉNUEMENT; PROCÉDURE ADMINISTRATIVE | CPC.117.B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arrêt du Tribunal fédéral 2D_6/2012 du 31 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2D_6/2012 du 31 juillet 2012 consid. 3).</w:t>
      </w:r>
    </w:p>
    <w:p>
      <w:r>
        <w:rPr>
          <w:b/>
        </w:rPr>
        <w:t>E. 2</w:t>
      </w:r>
    </w:p>
    <w:p>
      <w:r>
        <w:t>Les allégations de faits et les preuves nouvelles sont irrecevables dans le cadre d'un recours (art. 326 al. 1 CPC) - le pouvoir d'examen de la Cour étant limité (cf. consid. 1.3. supra) -, ce qui ne cause aucun préjudice à la recourante puisque celle-ci est en droit de déposer une nouvelle requête d'assistance juridique (arrêt du Tribunal fédéral 5A_336/2007 du 5 octobre 2007 consid. 2.2) en y exposant les faits nouveaux. ![endif]&gt;![if&gt; Par conséquent, les allégués de faits nouveaux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124 I 1 consid. 2a; 120 Ia 179 consid. 3a). La situation économique existant au moment du dépôt de la requête est déterminante (ATF 135 I 221 consid. 5.1;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(arrêts du Tribunal fédéral 5A_810/2011 du 7 février 2012 consid. 2.3, 5A_822/2009 du 23 mars 2010 consid. 3.1 et 5P.492/2006 du 26 janvier 2007, in RSPC 2007 p. 280). Il incombe au requérant d'indiquer de manière complète et d'établir autant que faire se peut ses revenus, sa situation de fortune et ses charges (ATF 135 I 221 consid. 5.1;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5P.295/2006 du 24 octobre 2006 consid. 3.4).</w:t>
      </w:r>
    </w:p>
    <w:p>
      <w:r>
        <w:rPr>
          <w:b/>
        </w:rPr>
        <w:t>E. 3.2</w:t>
      </w:r>
    </w:p>
    <w:p>
      <w:r>
        <w:t>En l'espèce, le litige sur lequel porte la demande d'assistance juridique concerne une bourse d'études dont bénéficie le fils de la recourante. Dans la mesure où ce dernier est directement concerné par les démarches en cause, c'est à bon droit que le premier juge a fait masse de l'ensemble des revenus et des charges de la recourante et de son fils pour examiner la situation financière de celle-ci. Contrairement à ce qu'elle allègue, son fils bénéficie d'une allocation de formation professionnelle de 400 fr. par mois (art. 7A et 8 al. 2 Loi sur les allocations familiales) et le salaire de ce dernier est bien de l'ordre de 1'500 fr. par mois (en tenant d'un 13 ème salaire admis). Seules les charges effectivement acquittées sont prises en considération. Ainsi, indépendamment de la question de savoir si la dette alléguée vise un bien ou un service de stricte nécessité, il ne sera en tout état pas tenu compte de celle-ci, dans la mesure où la recourante n'a produit aucune pièce attestant qu'elle s'acquitte régulièrement de son remboursement, un récépissé postal relatif à un unique paiement en date du mois de novembre 2013 étant insuffisant à cet égard. Il ressort ainsi des pièces produites devant le premier juge que les revenus mensuels nets du ménage de la recourante se composent des prestations sociales de celle-ci (2'118 fr.), du salaire de son fils (environ 1'500 fr.), des allocations familiales (400 fr.) et de la bourse d'études (1'000 fr.), soit un montant total de l'ordre de 5'018 fr. par mois. Les charges de la recourante et de son fils comprennent l'entretien de base majoré de 20% ([1'350 fr. + 600 fr.] + 390 fr.), ainsi que le loyer (1'476 fr.), étant précisé que leurs primes d'assurance-maladie et leurs frais de transport sont pris en charge par la collectivité. Le disponible mensuel du ménage de la recourante dépasse encore de 1'200 fr. le minimum vital élargi et de 1'592 fr. le minimum vital strict. Au vu des faits portés à la connaissance du premier juge, celui-ci n'a ni violé le droit ni constaté les faits de manière manifestement inexacte.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4 décembre 2013 par la Vice-présidente du Tribunal civil dans la cause AC/2796/2013.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