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AC/2793/2020 vom 10. November 2020</w:t>
      </w:r>
    </w:p>
    <w:p>
      <w:r>
        <w:t>GE Cour de justice, 2020-11-10, FR</w:t>
      </w:r>
    </w:p>
    <w:p>
      <w:r>
        <w:rPr>
          <w:b/>
        </w:rPr>
        <w:t xml:space="preserve">Quelle: </w:t>
      </w:r>
      <w:r>
        <w:t>https://mcp.opencaselaw.ch/entscheid/ge_gerichte_AC_2793_2020</w:t>
      </w:r>
    </w:p>
    <w:p>
      <w:r>
        <w:t>FR: GE_GERICHTE AC/2793/2020 du 10 novembre 2020</w:t>
      </w:r>
    </w:p>
    <w:p>
      <w:r>
        <w:t>IT: GE_GERICHTE AC/2793/2020 del 10 novembre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2e éd., n. 2513-2515, p. 453).</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Seules les charges réellement acquittées sont susceptibles d'entrer dans le calcul du minimum vital, la situation économique existant au moment du dépôt de la requête étant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Il appartient au justiciable sollicitant l'aide de l'État d'adapter son train de vie aux moyens financiers dont il dispose en donnant priorité aux dépenses relevant du strict minimum vital (arrêt du Tribunal fédéral 1B_428/2010 du 2 février 2011 consid. 4).</w:t>
      </w:r>
    </w:p>
    <w:p>
      <w:r>
        <w:rPr>
          <w:b/>
        </w:rPr>
        <w:t>E. 2.2</w:t>
      </w:r>
    </w:p>
    <w:p>
      <w:r>
        <w:t>En l'espèce, c'est à juste titre que l'Autorité de première instance a estimé les ressources du recourant en se fondant principalement sur son décompte de chômage d'octobre 2020, lequel faisait état du versement d'un montant de 5'485 fr. 45, dès lors que celui de septembre 2020 n'était pas représentatif du fait qu'un délai de carence de 5 jours avait été appliqué. C'est également à bon droit que la Vice-présidente du Tribunal de première instance a tenu compte de la moitié du loyer allégué en 2'250 euros par mois, dans la mesure où le recourant réside dans ce logement avec sa nouvelle compagne. En tout état, les pièces versées à la procédure par le recourant ne permettent pas de retenir qu'il s'acquitterait d'une charge de loyer mensuelle de 1'800 euros comme il l'indique, puisqu'il n'a versé qu'environ 1'100 fr. en septembre 2020. Les autres charges du recourant, non critiquées par ce dernier, ayant été arrêtées conformément aux éléments portés à sa connaissance, c'est à bon droit que l'Autorité intimée a refusé d'accorder l'assistance juridique au recourant, faute d'indigence.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19 novembre 2020 par A______ contre la décision rendue le 10 novembre 2020 par la Vice-présidente du Tribunal de première instance dans la cause AC/2793/2020.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