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AC/278/2015 vom 20. März 2017</w:t>
      </w:r>
    </w:p>
    <w:p>
      <w:r>
        <w:t>GE Cour de justice, 2017-03-20, FR</w:t>
      </w:r>
    </w:p>
    <w:p>
      <w:r>
        <w:rPr>
          <w:b/>
        </w:rPr>
        <w:t xml:space="preserve">Quelle: </w:t>
      </w:r>
      <w:r>
        <w:t>https://mcp.opencaselaw.ch/entscheid/ge_gerichte_AC_278_2015</w:t>
      </w:r>
    </w:p>
    <w:p>
      <w:r>
        <w:t>FR: GE_GERICHTE AC/278/2015 du 20 mars 2017</w:t>
      </w:r>
    </w:p>
    <w:p>
      <w:r>
        <w:t>IT: GE_GERICHTE AC/278/2015 del 20 marzo 2017</w:t>
      </w:r>
    </w:p>
    <w:p>
      <w:pPr>
        <w:pStyle w:val="Heading2"/>
      </w:pPr>
      <w:r>
        <w:t>Regeste</w:t>
      </w:r>
    </w:p>
    <w:p>
      <w:r>
        <w:t>REMBOURSEMENT DE FRAIS(ASSISTANCE)</w:t>
      </w:r>
    </w:p>
    <w:p>
      <w:pPr>
        <w:pStyle w:val="Heading2"/>
      </w:pPr>
      <w:r>
        <w:t>Erwägungen</w:t>
      </w:r>
    </w:p>
    <w:p>
      <w:r>
        <w:rPr>
          <w:b/>
        </w:rPr>
        <w:t>E. 1</w:t>
      </w:r>
    </w:p>
    <w:p>
      <w:r>
        <w:t>1.1. Les décisions de remboursement prises par la vice-présidente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134 V 49 consid. 4; 130 III 396 consid. 1.2.3).</w:t>
      </w:r>
    </w:p>
    <w:p>
      <w:r>
        <w:rPr>
          <w:b/>
        </w:rPr>
        <w:t>E. 1.3</w:t>
      </w:r>
    </w:p>
    <w:p>
      <w:r>
        <w:t>En l’espèce, bien que la recourante n’ait pas pris de conclusions formelles, l'on comprend qu'elle sollicite l'annulation de la décision entreprise. La recourante devait s'attendre à recevoir la décision litigieuse, laquelle faisait suite à la demande du greffe d'Assistance juridique tendant à actualiser sa situation financière en vue d'une éventuelle demande de remboursement. La recourante avait bel et bien reçu ce courrier puisqu’elle y a donné suite le 27 mars 2017. En conséquence, la décision querellée est réputée avoir été valablement notifiée à l'échéance du délai de sept jours suivant l'échec de la remise, soit le 3 avril 2017. Le délai de recours de 10 jours a ainsi commencé à courir le 4 avril 2017 et est arrivé à échéance le jeudi 13 avril 2016. Partant, le recours interjeté le 15 avril 2017 est tardif, de sorte qu'il sera déclaré irrecevable.</w:t>
      </w:r>
    </w:p>
    <w:p>
      <w:r>
        <w:rPr>
          <w:b/>
        </w:rPr>
        <w:t>E. 2</w:t>
      </w:r>
    </w:p>
    <w:p>
      <w:r>
        <w:t>Le recours est également irrecevable dès lors qu’il ne respecte pas les conditions de motivations imposées par la loi.</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2.2</w:t>
      </w:r>
    </w:p>
    <w:p>
      <w:r>
        <w:t>En l'espèce, l'acte de recours ne contient pas de motivation suffisante permettant de comprendre en quoi la Vice-présidente du Tribunal civil aurait établi les faits de manière arbitraire et quelle violation de la loi lui est reprochée. En particulier, la recourante n’allègue pas que le premier juge aurait violé la loi en retenant qu’elle était en mesure de s’acquitter du remboursement demandé. Dans la mesure où l'absence de motivation de l'acte ne constitue pas un vice de forme réparable au sens de l'art. 132 CPC (Hohl, op. cit., n. 3030), il ne peut être entré en matière sur le recours, qui est également irrecevable pour cette raison.</w:t>
      </w:r>
    </w:p>
    <w:p>
      <w:r>
        <w:rPr>
          <w:b/>
        </w:rPr>
        <w:t>E. 3</w:t>
      </w:r>
    </w:p>
    <w:p>
      <w:r>
        <w:t>La recourante ne s’en prévalant pas, il n’y a pour le surplus pas lieu d’examiner ici si l’envoi – tardif – des pièces requises ne comportait pas une requête tacite en restitution du délai qui lui avait été imparti pour les produire (art. 148 CPC), ce qui aurait impliqué l’obligation pour l’autorité intimée de statuer sur sa recevabilité et, le cas échéant, de rendre une nouvelle décision en tenant compte des pièces produites tardivement.</w:t>
      </w:r>
    </w:p>
    <w:p>
      <w:r>
        <w:rPr>
          <w:b/>
        </w:rPr>
        <w:t>E. 4</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20 mars 2017 par la Vice-présidente du Tribunal civil dans la cause AC/278/2015.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