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AC/2774/2016 vom 21. Juni 2021</w:t>
      </w:r>
    </w:p>
    <w:p>
      <w:r>
        <w:t>GE Cour de justice, 2021-06-21, FR</w:t>
      </w:r>
    </w:p>
    <w:p>
      <w:r>
        <w:rPr>
          <w:b/>
        </w:rPr>
        <w:t xml:space="preserve">Quelle: </w:t>
      </w:r>
      <w:r>
        <w:t>https://mcp.opencaselaw.ch/entscheid/ge_gerichte_AC_2774_2016</w:t>
      </w:r>
    </w:p>
    <w:p>
      <w:r>
        <w:t>FR: GE_GERICHTE AC/2774/2016 du 21 juin 2021</w:t>
      </w:r>
    </w:p>
    <w:p>
      <w:r>
        <w:t>IT: GE_GERICHTE AC/2774/2016 del 21 giugno 2021</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 teneur de l'art. 326 al. 1 CPC, les allégations de faits et les preuves nouvelles sont irrecevables dans le cadre d'une procédure de recours.![endif]&gt;![if&gt; Par conséquent, les allégués de faits dont le recourant n'a pas fait état en première instance et les pièces nouvelles ne seront pas pris en considération.</w:t>
      </w:r>
    </w:p>
    <w:p>
      <w:r>
        <w:rPr>
          <w:b/>
        </w:rPr>
        <w:t>E. 3.1</w:t>
      </w:r>
    </w:p>
    <w:p>
      <w:r>
        <w:t>![endif]&gt;![if&gt;</w:t>
      </w:r>
    </w:p>
    <w:p>
      <w:r>
        <w:rPr>
          <w:b/>
        </w:rPr>
        <w:t>E. 3.1.1</w:t>
      </w:r>
    </w:p>
    <w:p>
      <w:r>
        <w:t>Reprenant l'art. 29 al. 3 Cst., l'art. 117 CPC prévoit que toute personne qui ne dispose pas de ressources suffisantes a droit à l'assistance judiciaire à moins que sa cause paraisse dépourvue de toute chance de succès. Ainsi,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w:t>
      </w:r>
    </w:p>
    <w:p>
      <w:r>
        <w:rPr>
          <w:b/>
        </w:rPr>
        <w:t>E. 3.1.2</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3.1.3</w:t>
      </w:r>
    </w:p>
    <w:p>
      <w:r>
        <w:t>Selon l'art. 35 al. 1 de la loi fédérale sur l’assurance-invalidité du 19 juin 1959 (LAI - RS 831.20), les hommes et les femmes qui peuvent prétendre à une rente d'invalidité ont droit à une rente pour chacun des enfants qui, au décès de ces personnes, auraient droit à la rente d'orphelin de l'assurance-vieillesse et survivants. La rente pour enfant est versée comme la rente à laquelle elle se rapporte (art. 35 al. 4 première phrase LAI), sous réserve, notamment, des dispositions spéciales édictées par le Conseil fédéral sur le versement de la rente, notamment pour les enfants de parents séparés ou divorcés (art. 35 al. 4 troisième phrase LAI).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(ATF 142 V 226 consid. 6.2 et les références citées). Les montants reçus pour un enfant à titre de rente complémentaire ne doivent pas être ajoutés aux revenus du débiteur puisqu'ils doivent exclusivement être affectés aux besoins des enfants. En revanche, ils doivent être déduits de l'entretien courant de ceux-ci, tel qu'il est fixé par les normes d'insaisissabilité (arrêt du Tribunal fédéral 5A_236/2010 du 21 juillet 2010 consid. 4.2, traitant d'un cas de parents divorcés exerçant une garde partagée). De manière générale, pour les gains du requérant, est normalement déterminant le revenu mensuel moyen, avec le cas échéant les allocations familiales et les gratifications ou participation aux résultats éventuels ainsi que le produit d’une activité accessoire. Des ressources d’une autre nature (revenus de la fortune, droits d’auteurs, rentes d’assurances sociales ou privées, pensions alimentaires, etc.), y compris en faveur d’enfants mineurs faisant ménage commun avec le requérant, entrent naturellement aussi en considération, pour autant qu’elles puissent réellement être touchées – étant rappelé que des ressources de l'intéressé il faut déduire ses charges, soit ses frais d'entretien (pour lui et la famille à sa charge) (Tappy, Commentaire romand CPC, 2ème édition, 2019, n. 23 et n. 28 ad art. 117 CPC et les références citées).</w:t>
      </w:r>
    </w:p>
    <w:p>
      <w:r>
        <w:rPr>
          <w:b/>
        </w:rPr>
        <w:t>E. 3.2</w:t>
      </w:r>
    </w:p>
    <w:p>
      <w:r>
        <w:t>En l'espèce, le recourant perçoit une rente invalidité mensuelle de 594 fr. ainsi que des prestations complémentaires de 2'511 fr. par mois. Dans la mesure où il n'a aucunement rendu vraisemblable s'acquitter des frais d'entretien de ses enfants, il n'y a pas lieu de comptabiliser les charges de ceux-ci dans son budget, d'autant moins depuis que les mineurs résident chez leur mère, à savoir depuis le 8 février 2021. De la même manière, il ne se justifie pas non plus de tenir compte, dans les revenus du recourant, des prestations complémentaires perçues pour les enfants en 2'274 fr. par mois, puisque celles-ci visent à couvrir les besoins des mineurs et non à enrichir le parent qui les reçoit. La mère, qui détient l'autorité parentale sur les enfants et vit dorénavant avec eux, peut d'ailleurs demander à ce que la rente leur revenant lui soit versée, bien qu'elle ne soit pas titulaire de la rente principale (cf. art. 71ter al. 1 RAVS, par renvoi de l'art. 82 al. 1 RAI). C'est ainsi à bon droit que la Vice-présidente du Tribunal de première instance n'a pas tenu compte de l'entretien de base des enfants dans le calcul opéré, ni du montant de 1'350 fr. pour un débiteur monoparental. Elle aurait toutefois dû retenir que le recourant ne percevait que 3'105 fr. par mois de revenus. Or, avec des charges de 4'810 fr. par mois (1'200 de minimum vital OP + 240 fr. de majoration de ce montant + 1'100 fr. de loyer + 120 fr. de charge fiscale + 2'150 fr. de saisies OP), celui-ci est en situation déficitaire. Son indigence est donc avérée. C'est donc à tort que l'autorité précédente a considéré que le recourant pouvait être condamné au remboursement de la somme de 8'669 fr. 85 avancée par l'Etat. Cette décision sera, par conséquent, annulée.</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