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AC/2770/2016 vom 26. September 2016</w:t>
      </w:r>
    </w:p>
    <w:p>
      <w:r>
        <w:t>GE Cour de justice, 2016-09-26, FR</w:t>
      </w:r>
    </w:p>
    <w:p>
      <w:r>
        <w:rPr>
          <w:b/>
        </w:rPr>
        <w:t xml:space="preserve">Quelle: </w:t>
      </w:r>
      <w:r>
        <w:t>https://mcp.opencaselaw.ch/entscheid/ge_gerichte_AC_2770_2016</w:t>
      </w:r>
    </w:p>
    <w:p>
      <w:r>
        <w:t>FR: GE_GERICHTE AC/2770/2016 du 26 septembre 2016</w:t>
      </w:r>
    </w:p>
    <w:p>
      <w:r>
        <w:t>IT: GE_GERICHTE AC/2770/2016 del 26 settembre 2016</w:t>
      </w:r>
    </w:p>
    <w:p>
      <w:pPr>
        <w:pStyle w:val="Heading2"/>
      </w:pPr>
      <w:r>
        <w:t>Regeste</w:t>
      </w:r>
    </w:p>
    <w:p>
      <w:r>
        <w:t>REMPLACEMENT ; AVOCAT</w:t>
      </w:r>
    </w:p>
    <w:p>
      <w:pPr>
        <w:pStyle w:val="Heading2"/>
      </w:pPr>
      <w:r>
        <w:t>Erwägungen</w:t>
      </w:r>
    </w:p>
    <w:p>
      <w:r>
        <w:rPr>
          <w:b/>
        </w:rPr>
        <w:t>E. 1</w:t>
      </w:r>
    </w:p>
    <w:p>
      <w:r>
        <w:t>1.1. La décision entreprise est sujette à recours auprès du président de la Cour de justice en tant qu'elle refuse un changement d’avocat (art. 14 RAJ ; art. 121 CPC et art. 21 al. 3 LaCC), compétence déléguée au vice-président soussigné (art. 29 al. 5 LOJ ; arrêt du Tribunal fédéral 2D_6/2012 du 31 juillet 2012 consid. 2). Le recours, écrit et motivé, est introduit auprès de l'instance de recours (art. 32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pièces nouvelles et les allégués de faits dont la recourante n'a pas fait état en première instance ne seront pas pris en considération.</w:t>
      </w:r>
    </w:p>
    <w:p>
      <w:r>
        <w:rPr>
          <w:b/>
        </w:rPr>
        <w:t>E. 3.1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 114 Ia 101 consid. 3).</w:t>
      </w:r>
    </w:p>
    <w:p>
      <w:r>
        <w:rPr>
          <w:b/>
        </w:rPr>
        <w:t>E. 3.2</w:t>
      </w:r>
    </w:p>
    <w:p>
      <w:r>
        <w:t>En l'espèce, en charge du dossier de la recourante depuis le début du mois d’octobre 2016, Me E______ a déposé la demande en aliment assortie de mesures provisionnelles au mois de mars 2017. Sur mesures provisionnelles la recourante et son conseil ont considéré qu’une somme de 1'000 fr. par mois et par enfant était nécessaire pour couvrir les charges de ceux-ci, or le père ne s’acquittait que de 500 fr. par mois. La recourante a fait valoir, sans être contredite, s’être ainsi trouvée dans une situation financière difficile. Certes, des mesures superprovisionnelles auraient pu être réclamées. Cela étant, au vu des revenus et des charges des parties, il est vraisemblable que le premier juge aurait considéré que la somme de 500 fr. versée par le père pour chacun des enfants était suffisante jusqu’au prononcé de mesures provisionnelles. En revanche, la recourante a indiqué, toujours sans être contredite par Me E______, qui s’est contentée de réfuter globalement les griefs de la recourante à son encontre, ne pas avoir été d’accord avec un droit de visite élargi mais que son conseil avait insisté pour qu’une proposition en ce sens soit formulée. A la suite de cette proposition le père a renoncé, sur mesures provisionnelles, à réclamer une garde alternée, ce qui allait dans le sens voulu par la recourante, et il ne pouvait être retenu que la nuit par semaines des enfants auprès de leur père serait contraire à leur intérêt avant que d’en faire l’expérience. Enfin, c’est, a priori , à juste titre que Me E______ n’a pas donné suite à la demande de la recourante de déposer plainte contre le père pour violation d’obligation d’entretien puisqu’aucun jugement ne le condamnait au paiement d’une contribution. En outre, une demande en rectification du procès-verbal d’audience n’était pas nécessaire puisque les conclusions en paiement étaient claires et que les vacances de février étant suffisamment loin une solution pouvait être trouvée sur ce point dans l’intervalle. Si Me E______ a valablement défendu les intérêts de la recourante et de ses enfants, il résulte toutefois de ce qui précède une certaine incompréhension entre la recourante et Me E______, notamment quant à la prise en compte par celle-ci des souhaits exprimés par la recourante et l’explication à cette dernière des rouages de la procédure, qui est de nature à ébranler le lien de confiance. La procédure au fond n’étant pas encore en état d’être jugée, il se justifie de faire droit à la requête de changement d’avocat sollicité. Par conséquent, le recours sera admis et la décision querellée annulée. Me F______, avocat de choix, a d’ores et déjà accepté d’assurer la défense de la recourante. Il sera dès lors désigné avocat d’office en lieu et place de Me E______, avec effet au 10 octobre 2017, date du dépôt de la requête en changement d’avocat.</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17 novembre 2017 par A______ contre la décision rendue le 13 novembre 2017 par le Vice-président du Tribunal civil dans la cause AC/2770/2016. Au fond : Annule cette décision. Relève Me E______ de ses fonctions avec effet au 10 octobre 2017. Nomme d’office Me F______ aux fins d’assurer la défense des intérêts d’A______ dans le cadre de la procédure devant le Tribunal de première instance. Maintient les autres conditions posées à l’octroi de l’assistance juridique dans la décision du 26 septembre 2016. Déboute A______ de toutes autres conclusions. Dit qu'il n'est pas perçu de frais judiciaires pour le recours. Notifie une copie de la présente décision à A______ en l'Étude de M e F______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