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AC/2700/2018 vom 18. Oktober 2018</w:t>
      </w:r>
    </w:p>
    <w:p>
      <w:r>
        <w:t>GE Cour de justice, 2018-10-18, FR</w:t>
      </w:r>
    </w:p>
    <w:p>
      <w:r>
        <w:rPr>
          <w:b/>
        </w:rPr>
        <w:t xml:space="preserve">Quelle: </w:t>
      </w:r>
      <w:r>
        <w:t>https://mcp.opencaselaw.ch/entscheid/ge_gerichte_AC_2700_2018</w:t>
      </w:r>
    </w:p>
    <w:p>
      <w:r>
        <w:t>FR: GE_GERICHTE AC/2700/2018 du 18 octobre 2018</w:t>
      </w:r>
    </w:p>
    <w:p>
      <w:r>
        <w:t>IT: GE_GERICHTE AC/2700/2018 del 18 ottobre 2018</w:t>
      </w:r>
    </w:p>
    <w:p>
      <w:pPr>
        <w:pStyle w:val="Heading2"/>
      </w:pPr>
      <w:r>
        <w:t>Regeste</w:t>
      </w:r>
    </w:p>
    <w:p>
      <w:r>
        <w:t>CHANCES DE SUCCÈS; EXCEPTION OU OBJECTION ; PRESCRIPTION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 3.1.1 La fourniture d'un conseil juridique rémunéré par l'Etat suppose la réalisation de trois conditions : une cause non dénuée de chances de succès, l'indigence et la nécessité de l'assistance par un professionnel (art. 29 al. 3 Cst. et 117 let. a et b CPC; ATF 141 III 560 consid. 3.2.1). Selon l'art. 119 al. 2 CPC, le requérant justifie de sa situation de fortune et de ses revenus et expose l'affaire et les moyens de preuve qu'il entend invoquer. Applicable à la procédure portant sur l'octroi ou le refus de l'assistance judiciaire, la maxime inquisitoire est limitée par le devoir de collaborer des parties découlant en particulier de l'art. 119 al. 2 CC.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en outre à cette dernière de motiver sa requête s'agissant des conditions d'octroi de l'art. 117 CPC et d'apporter, à cet effet, tous les moyens de preuve nécessaires et utiles (arrêts du Tribunal fédéral 5A_502/2017 du 15 août 2017 consid. 3.2 et 5A_380/2015 du 1 er juillet 2015 consid. 3 publié in SJ 2016 I 128). Selon l'art. 56 CP, le tribunal interpelle les parties lorsque leurs actes ou déclarations sont peu clairs, contradictoires, imprécis ou manifestement incomplets et leur donne l'occasion de les clarifier et de les compléter. Le devoir du tribunal résultant de cette disposition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 3.1.2 Les actions fondées sur des obligations contractuelles se prescrivent, sauf disposition spéciale, par dix ans (art. 127 CO), dès que la créance est devenue exigible (art. 130 al. 1 CO). La prescription décennale de l'art. 127 CO commence en principe à courir au plus tard depuis la fin du contrat (ATF 106 II 134 consid. 2d; arrêt du Tribunal fédéral 4A_558/2018 du 29 mai 2018 consid. 5.3.1). La prescription est interrompue lorsque le débiteur reconnaît la dette, notamment en payant des intérêts ou des acomptes, en constituant un gage ou en fournissant une caution (art. 135 ch. 1 CO), ou lorsque le créancier fait valoir ses droits par des poursuites, par une requête de conciliation, par une action ou une exception devant un tribunal ou un tribunal arbitral ou par une intervention dans une faillite (art. 135 ch. 2 CO). 3.1.3 Le juge ne peut suppléer d'office le moyen résultant de la prescription (art. 142 CO). En revanche, si le débiteur invoque un tel moyen selon les formes et dans le délai prescrits, le principe iura novit curia s'applique : le juge doit alors examiner d'office toute question relative au fondement juridique de l'exception de prescription (ATF 112 II 231 consid. 3), en respectant cependant le droit d'être entendu des parties (arrêts du Tribunal fédéral 4A_210/2010 , 4A_214/2010 , 4A_216/2010 du 1 er octobre 2010 consid. 7.1.1 non publié in ATF 136 III 502 ).</w:t>
      </w:r>
    </w:p>
    <w:p>
      <w:r>
        <w:rPr>
          <w:b/>
        </w:rPr>
        <w:t>E. 3.2</w:t>
      </w:r>
    </w:p>
    <w:p>
      <w:r>
        <w:t>En l'espèce, le recourant a déposé sa requête d’assistance juridique sans l’aide d’un avocat, étant précisé que rien dans le dossier n’indique qu’il dispose de connaissances juridiques. Il ne pouvait donc pas envisager que le premier juge examinerait d’office une éventuelle exception de prescription pour rejeter sa requête alors que ce moyen n’est pas examiné d’office par le juge du fond mais doit être soulevé par la partie adverse. De ce fait et aux fins d'instruire la requête, il appartenait au premier juge d'inviter le recourant à lui indiquer s’il avait ou non effectué des actes interruptifs de prescription avant de statuer. L'autorité de première instance ne pouvait dès lors pas retenir, sans violer la loi, que la cause du recourant était dénuée de chance de succès en raison de sa prescription. Par conséquent, la décision querellée sera annulée et la cause sera renvoyée au Vice-président du Tribunal civil pour nouvelle décision.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VICE-PRESIDENT DE LA COUR : A la forme : Déclare recevable le recours formé le 15 novembre 2018 par A______ contre la décision rendue le 18 octobre 2018 par le Vice-président du Tribunal civil dans la cause AC/2700/2018. Au fond : Annule la décision entreprise. Cela fait : Renvoie la cause au Vice-président du Tribunal civil pour instruction complémentaire et nouvelle décision. Dit qu'il n'est pas perçu de frais judiciaires pour le recours, ni alloué de dépens. Déboute A______ de toutes autres conclusions. Notifie une copie de la présente décision à A______ en l'Etude de M e Stéphane PILETTA-ZANIN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