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AC/2662/2012 vom 19. November 2012</w:t>
      </w:r>
    </w:p>
    <w:p>
      <w:r>
        <w:t>GE Cour de justice, 2012-11-19, FR</w:t>
      </w:r>
    </w:p>
    <w:p>
      <w:r>
        <w:rPr>
          <w:b/>
        </w:rPr>
        <w:t xml:space="preserve">Quelle: </w:t>
      </w:r>
      <w:r>
        <w:t>https://mcp.opencaselaw.ch/entscheid/ge_gerichte_AC_2662_2012</w:t>
      </w:r>
    </w:p>
    <w:p>
      <w:r>
        <w:t>FR: GE_GERICHTE AC/2662/2012 du 19 novembre 2012</w:t>
      </w:r>
    </w:p>
    <w:p>
      <w:r>
        <w:t>IT: GE_GERICHTE AC/2662/2012 del 19 novembre 2012</w:t>
      </w:r>
    </w:p>
    <w:p>
      <w:pPr>
        <w:pStyle w:val="Heading2"/>
      </w:pPr>
      <w:r>
        <w:t>Regeste</w:t>
      </w:r>
    </w:p>
    <w:p>
      <w:r>
        <w:t>ASSISTANCE JUDICIAIRE; CHANCES DE SUCCÈS | Cst.29.3;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déposé dans le délai utile et en la forme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La recourante fait valoir que l'Autorité de première instance a, à tort, considéré que sa cause était dénuée de toutes chances de succès alors que de nombreux indices rendent hautement vraisemblable que la responsabilité de l'État soit engagée en raison de l'interdiction prononcée selon elle à tort.</w:t>
      </w:r>
    </w:p>
    <w:p>
      <w:r>
        <w:rPr>
          <w:b/>
        </w:rPr>
        <w:t>E. 2.1</w:t>
      </w:r>
    </w:p>
    <w:p>
      <w:r>
        <w:t>Reprenant l'art. 29 al. 3 Cst., l'art. 117 CPC prévoit que toute personne qui ne dispose pas de ressources suffisantes a droit à l'assistance judiciaire à moins que sa cause paraisse dépourvue de toutes chances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toutes chances de succès lorsque les perspectives de gain et les risques d'échec s'équilibrent à peu près ou lorsque les premières sont seulement un peu plus faibles que les seconds (ATF 133 III 614 consid. 5).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(arrêt du Tribunal fédéral 4A_454/2008 du 1er décembre 2008 consid. 4.2 ; ATF 129 I 129 consid. 2.3.1).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du Tribunal fédéral 4A_454/2008 précité).</w:t>
      </w:r>
    </w:p>
    <w:p>
      <w:r>
        <w:rPr>
          <w:b/>
        </w:rPr>
        <w:t>E. 2.2</w:t>
      </w:r>
    </w:p>
    <w:p>
      <w:r>
        <w:t>En l'espèce, les autorités judiciaires ont déjà retenu, à plusieurs reprises, que l'interdiction de la recourante avait été prononcé sur la base d'une expertise médicale qui ne prêtait le flan à aucune critique, que cette expertise était corroborée par le comportement de la recourante et que les déclarations des voisins n'avaient pas été déterminants pour le prononcé de la mesure. Il a également déjà été relevé que cette mesure était encore justifiée en 2008, puisqu'une expertise médicale venait confirmer l'existence des troubles mentaux de la recourante à cette période. Dès lors, le premier juge a retenu à juste titre que les procédures introduites par la recourante contre l'État de Genève et sa voisine étaient dénuées de toutes chances de succès puisque la recourante tend, à nouveau, à faire reconnaître qu'aucune mesure n'aurait dû être prononcée à son encontre, voire que la mesure aurait dû être levée dès le début de l'année 2005, ce qui est en contradiction avec les résultats des expertises réalisées en 2002 et en 2008 ; l'inanité de cette argumentation a déjà été constatée par la Chambre de surveillance de la Cour de justice dans ses arrêts des 7 décembre 2011 et 18 septembre 2012. A tout le moins, une personne raisonnable possédant des biens et de condition aisée renoncerait, dans ces circonstances, à introduire le procès en responsabilité envisagé par la recourante, tant contre l'État de Genève que contre sa voisine. Compte tenu de ce qui précède,le recours est infondé etle jugement entrepris doit être confirmé.</w:t>
      </w:r>
    </w:p>
    <w:p>
      <w:r>
        <w:rPr>
          <w:b/>
        </w:rPr>
        <w:t>E. 3</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19 novembre 2012 par la Vice-présidente du Tribunal civil dans la cause AC/2662/2012. Au fond : Rejette le recours. Déboute A______ de toutes autres conclusions. Dit qu'il n'est pas perçu de frais judiciaires. Notifie une copie de la présente décision à A______ en l'étude de Me Guy ZWAHLEN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