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AC/2646/2017 vom 10. Oktober 2017</w:t>
      </w:r>
    </w:p>
    <w:p>
      <w:r>
        <w:t>GE Cour de justice, 2017-10-10, FR</w:t>
      </w:r>
    </w:p>
    <w:p>
      <w:r>
        <w:rPr>
          <w:b/>
        </w:rPr>
        <w:t xml:space="preserve">Quelle: </w:t>
      </w:r>
      <w:r>
        <w:t>https://mcp.opencaselaw.ch/entscheid/ge_gerichte_AC_2646_2017</w:t>
      </w:r>
    </w:p>
    <w:p>
      <w:r>
        <w:t>FR: GE_GERICHTE AC/2646/2017 du 10 octobre 2017</w:t>
      </w:r>
    </w:p>
    <w:p>
      <w:r>
        <w:t>IT: GE_GERICHTE AC/2646/2017 del 10 ottobre 2017</w:t>
      </w:r>
    </w:p>
    <w:p>
      <w:pPr>
        <w:pStyle w:val="Heading2"/>
      </w:pPr>
      <w:r>
        <w:t>Regeste</w:t>
      </w:r>
    </w:p>
    <w:p>
      <w:r>
        <w:t>CHANCES DE SUCCÈS ; AUTORISATION DE SÉJOUR</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L’art. 30 al. 1 let. b LEtr permet de déroger aux conditions d’admission en Suisse, telles que prévues aux art. 18 à 29 LEtr, notamment en vue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(ch. 5.6.4 Directives et commentaires domaine des étrangers - Directives LEtr, version actualisée au 3 juillet 2017).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ATA/350/2016 du 26 avril 2016 ; ATA/1192/2015 du 3 novembre 2015 et jurisprudence cantonale citée). L’autorité doit néanmoins procéder à l’examen de l’ensemble des circonstances du cas d’espèce pour déterminer l’existence d’un cas de rigueur (ATF 128 II 200 consid. 4 ; 124 II 110 consid. 2 ; ch. 5.6.1 Directives LEtr). L’art. 30 al. 1 let. b LEtr n’a pas pour but de soustraire le requérant aux conditions de vie de son pays d’origine, mais implique qu’il se trouve personnellement dans une situation si grave qu’on ne peut exiger de sa part qu’il tente de se réadapter à son existence passée. Dans la procédure d’exemption des mesures de limitation, seules des raisons exclusivement humanitaires sont déterminantes. Cela n’exclut pas de prendre en compte les difficultés rencontrées par le requérant à son retour dans son pays d’un point de vue personnel, familial et économique (ATF 123 II 125 consid. 3 ; ATA/189/2016 du 1er mars 2016).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C-5414/2013 du 30 juin 2015 consid. 5.1.3 ; C-6726/2013 du 24 juillet 2014 consid. 5.3 ; C-6628/2007 du 23 juillet 2009 consid. 5.2 ; ATA/287/2016 du 5 avril 2016).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En revanche, constituent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ATA/287/2016 du 5 avril 2016 et les arrêts cités). 2.2.2 Au début de l’année 2017, le canton de Genève a développé un projet appelé «opération Papyrus» visant à régulariser la situation des personnes non ressortissantes de l’Union européenne et de l’Association européenne de libre-échange, bien intégrées. Les critères pour pouvoir bénéficier de cette opération sont les suivants : avoir un emploi, une indépendance financière complète, un séjour continu de 10 ans minimum pour les couples sans enfants et les célibataires, une intégration réussie et l'absence de condamnation pénale (cf. brochure officielle publiée en février 2017 par le Département genevois de la sécurité et de l'économie - https://demain.ge.ch/document/brochure-papyrus). L'«opération Papyrus» ne s'adresse pas seulement aux ressortissants étrangers ayant toujours été en situation irrégulière, aucune raison ne permettant de justifier que les personnes étrangères ayant été détentrices d'un permis pour une partie de leur séjour en Suisse soient prétéritées par rapport aux personnes ayant toujours été en situation illégale ( ATA/465/2017 du 25 avril 2017 consid. 11). 2.2.3 Reposant sur la délégation prévue à l’art. 100 LEtr, le protocole d’entente conclu entre la Suisse et le Canada en date du 26 mars 2003, entré en vigueur au 1 er mai 2003 (FF 2003 4796 ; ci-après : le protocole) porte, d'une part, sur la réduction du délai d’octroi de l’autorisation d’établissement pour les ressortissants canadiens en Suisse. D'autre part, il valide, par la voie d'une réglementation bilatérale, le maintien de l'accès au marché du travail suisse à certaines catégories de professions spécifiques (cf. ch. 4.8.7 Directives LEtr). Aux termes de ce protocole, la Suisse s’efforcera d’accorder une autorisation d’établissement (permis C) en vertu de l’art. 6 de la loi fédérale du 26 mars 1931 sur le séjour et l’établissement des étrangers (devenu art. 34 LEtr) sur demande aux citoyens canadiens séjournant en Suisse sans interruption depuis cinq ans en qualité de résident à l’année, étant précisé que les séjours temporaires effectués à des fins d’études notamment ne seront pas pris en compte dans le calcul de la période de cinq ans. Par ailleurs, les cantons sont priés de faciliter l'octroi d'autorisations de courte durée ou de séjour à l’année à certains ressortissants canadiens, notamment les diplômés universitaires sans expérience professionnelle, au sens d'une interprétation souple du critère de travailleur qualifié visé à l'art. 23 LEtr (cf. ch. 4.8.7.1 Directives LEtr). Le protocole n’a toutefois pas pour effet de créer des obligations juridiques et ne modifie ni ne remplace les lois ou règlements en vigueur en Suisse ou au Canada. Il ne crée aucun droit exécutoire à l’égard de particuliers et n’impose aucune obligation ni restriction aux autorités législatives ou judiciaires des deux gouvernements (chapitre C du protocole). Il n’en constitue toutefois pas moins un élément devant être pris en considération dans l’exercice du pouvoir d’appréciation conféré à l’administration (cf. ATA/996/2014 du 16 décembre 2014 consid. 5).</w:t>
      </w:r>
    </w:p>
    <w:p>
      <w:r>
        <w:rPr>
          <w:b/>
        </w:rPr>
        <w:t>E. 2.3</w:t>
      </w:r>
    </w:p>
    <w:p>
      <w:r>
        <w:t>En l'espèce, la recourante est arrivée en Suisse en janvier 2009, alors qu'elle était âgée de 24 ans. La durée de son séjour en Suisse n'est pas particulièrement longue et doit en outre être relativisée au regard des 24 années passées dans son pays d'origine. Quand bien même l'intégration en Suisse de la recourante paraît très bonne - au vu notamment des nombreuses lettres de soutien figurant au dossier et de ses diverses expériences professionnelles et activités de bénévolat -, elle ne peut être qualifiée d'exceptionnelle. En outre, les tensions existant entre la recourante et ses parents ne semblent pas constituer un obstacle insurmontable à son retour au Canada. Compte tenu de ses qualités humaines et professionnelles, ses perspectives de réintégration dans ce pays paraissent favorables. Par conséquent, la recourante ne semble pas, à première vue, remplir les conditions d'un cas de rigueur personnelle au sens de la loi et de la jurisprudence rappelées ci-dessus. Par ailleurs, au regard de la jurisprudence susmentionnée, c'est à tort que la recourante se prévaut d'une inégalité de traitement en lien avec l'opération Papyrus. Au demeurant, elle ne semble pas remplir toutes les conditions pour pouvoir bénéficier de ladite opération, en particulier celle relative à la durée du séjour en Suisse. Dans le cadre de la présente procédure de recours contre la décision de la Vice-présidente du Tribunal civil, la recourante invoque un nouveau grief, également soumis au TAPI, à savoir que sa demande d'autorisation de séjour n'aurait, à tort, pas été examinée par l'OCPM sous l'angle des droits résultant du protocole d'entente signé entre les gouvernements suisse et canadien en 2003. S'il est vrai que la formulation de nouveaux griefs dans le cadre de la procédure de recours au fond semble possible, au regard de l'art. 65 al. 4 LPA, la recevabilité de ces nouveaux arguments dans le cadre du recours contre une décision d'assistance juridique paraît douteuse, puisque les chances de succès d'une procédure doivent être appréciées sur la base de la situation prévalant à la date du dépôt de la requête d'aide étatique. Cela étant, cette question peut demeurer indécise, dès lors que ces arguments nouveaux ne paraissent a priori pas conférer davantage de chances de succès à la démarche de la recourante. En effet, l'intéressée ne peut se prévaloir d'un séjour ininterrompu de 5 ans en qualité de résidente à l'année, puisque les années pendant lesquelles elle a vécu en Suisse au bénéfice de permis de séjour pour études ne peuvent pas être prises en considération. Il semble dès lors peu probable qu'elle puisse prétendre à l'obtention d'un permis C. Par ailleurs, la recourante ne paraît, au premier abord, pas appartenir à l'une des catégories de personnes de nationalité canadienne dont l'accès au marché du travail suisse doit être privilégié au sens du protocole, dès lors qu'elle bénéficie d'ores et déjà de plusieurs expériences professionnelles. Pour le surplus, quand bien même elle remplirait les conditions prévues par ledit protocole, elle ne pourrait en déduire aucun droit. Enfin, aucun élément du dossier ne permet a priori de considérer que le renvoi de la recourante serait impossible, illicite ou inexigible au sens de l'art. 83 LEtr. En particulier, l'intéressée n'a pas fourni d'éléments factuels permettant d'accréditer ou de rendre vraisemblable le risque allégué de mariage forcé. Compte tenu de ce qui précède, c'est à juste titre que la Vice-présidente du Tribunal civil a refusé d'octroyer l'assistance juridique à la recourante au motif que le recours formé devant le TAPI paraissait dépourvu de chances de succès. Partant, le recours, infondé, sera rejeté.</w:t>
      </w:r>
    </w:p>
    <w:p>
      <w:r>
        <w:rPr>
          <w:b/>
        </w:rPr>
        <w:t>E. 3</w:t>
      </w:r>
    </w:p>
    <w:p>
      <w:r>
        <w:t>Sauf exceptions non réalisées en l'espèce, il n'est pas perçu de frais judiciaires pour la procédure d'assistance juridique (art. 119 al. 6 CPC).![endif]&gt;![if&gt;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