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AC/2628/2017 vom 14. September 2017</w:t>
      </w:r>
    </w:p>
    <w:p>
      <w:r>
        <w:t>GE Cour de justice, 2017-09-14, FR</w:t>
      </w:r>
    </w:p>
    <w:p>
      <w:r>
        <w:rPr>
          <w:b/>
        </w:rPr>
        <w:t xml:space="preserve">Quelle: </w:t>
      </w:r>
      <w:r>
        <w:t>https://mcp.opencaselaw.ch/entscheid/ge_gerichte_AC_2628_2017</w:t>
      </w:r>
    </w:p>
    <w:p>
      <w:r>
        <w:t>FR: GE_GERICHTE AC/2628/2017 du 14 septembre 2017</w:t>
      </w:r>
    </w:p>
    <w:p>
      <w:r>
        <w:t>IT: GE_GERICHTE AC/2628/2017 del 14 settembre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2.1.2 Selon l'art. 5 al. 2 du règlement d'exécution de la loi sur l'insertion et l'aide sociale individuelle (RIASI), une allocation de 175 fr. par mois au maximum est accordée en cas de régime alimentaire particulier prescrit médicalement et générant des frais supplémentaires, attestés par certificat médical.</w:t>
      </w:r>
    </w:p>
    <w:p>
      <w:r>
        <w:rPr>
          <w:b/>
        </w:rPr>
        <w:t>E. 2.2</w:t>
      </w:r>
    </w:p>
    <w:p>
      <w:r>
        <w:t>En l'espèce, dès lors qu'une somme de 350 fr. par mois est accordée à la recourante et à sa fille au titre d'« allocation régime » au sens de l'art. 5 al. 2 RIASI, il doit également être tenu compte des charges correspondantes dans le calcul de leur minimum vital puisqu'il s'agit de dépenses alimentaires spéciales. Par conséquent, les revenus de la recourante s'élèvent à 3'157 fr. 25 alors que ses charges, sans majoration, sont de 3'276 fr. 20, soit le loyer, allocation logement déduite (889 fr. 95), les frais de transport de la recourante et de sa fille (86 fr. 25), l'entretien du ménage selon les normes OP (1'950 fr.) et les frais de régime alimentaire (350 fr.). La recourante subit ainsi un déficit mensuel de 118 fr. 95 (3'157 fr. 25 – 3'276 fr. 20), de sorte qu'une participation mensuelle ne peut, en l'état, lui être imposée. Compte tenu de ce qui précède, le chiffre 3 de la décision querellée sera annulé.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