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AC/2582/2024 vom 7. Oktober 2024</w:t>
      </w:r>
    </w:p>
    <w:p>
      <w:r>
        <w:t>GE Cour de justice, 2024-10-07, FR</w:t>
      </w:r>
    </w:p>
    <w:p>
      <w:r>
        <w:rPr>
          <w:b/>
        </w:rPr>
        <w:t xml:space="preserve">Quelle: </w:t>
      </w:r>
      <w:r>
        <w:t>https://mcp.opencaselaw.ch/entscheid/ge_gerichte_AC_2582_2024</w:t>
      </w:r>
    </w:p>
    <w:p>
      <w:r>
        <w:t>FR: GE_GERICHTE AC/2582/2024 du 7 octobre 2024</w:t>
      </w:r>
    </w:p>
    <w:p>
      <w:r>
        <w:t>IT: GE_GERICHTE AC/2582/2024 del 7 ottobre 2024</w:t>
      </w:r>
    </w:p>
    <w:p>
      <w:pPr>
        <w:pStyle w:val="Heading2"/>
      </w:pPr>
      <w:r>
        <w:t>Erwägungen</w:t>
      </w:r>
    </w:p>
    <w:p>
      <w:r>
        <w:rPr>
          <w:b/>
        </w:rPr>
        <w:t>E. 1.1.1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1.1.2</w:t>
      </w:r>
    </w:p>
    <w:p>
      <w:r>
        <w:t>En l'espèce, le recours est recevable pour avoir été interjeté dans le délai utile et en la forme écrite prescrite par la loi.</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Aux termes de l'art. 326 al. 1 CPC, les allégations de faits et les preuves nouvelles sont irrecevables dans le cadre d'un recours. Exceptionnellement, des faits nouveaux postérieurs à la décision attaquée peuvent être introduits s'ils permettent d'établir la recevabilité du recours (ATF 139 III 120 consid. 3.1.2; 136 III 123 consid. 4.4.3; arrêt du Tribunal fédéral 5A_907/2021 du 20 avril 2022 consid. 2.2.2 n.p. in ATF 148 III 232 ).</w:t>
      </w:r>
    </w:p>
    <w:p>
      <w:r>
        <w:rPr>
          <w:b/>
        </w:rPr>
        <w:t>E. 2.2</w:t>
      </w:r>
    </w:p>
    <w:p>
      <w:r>
        <w:t>En l'espèce, le recourant n'a pas exposé à l'Autorité de première instance ses atteintes à la santé qui ne lui permettraient pas de se défendre seul à la procédure de mesures protectrices de l'union conjugale, s'étant limité à mentionner le dépôt d'une demande d'invalidité. Il n'a pas davantage exposé les difficultés particulières de ladite procédure. Par conséquent, ses nouveaux allégués de faits sont irrecevables. Il en va, en revanche, différemment du jugement rendu le 7 novembre 2024, dans la mesure où il conviendra d'indiquer, cas échéant, si l'intérêt du recourant demeure actuel, en dépit dudit prononcé.</w:t>
      </w:r>
    </w:p>
    <w:p>
      <w:r>
        <w:rPr>
          <w:b/>
        </w:rPr>
        <w:t>E. 3.1</w:t>
      </w:r>
    </w:p>
    <w:p>
      <w:r>
        <w:t>Selon l'art. 117 CPC, une personne a droit à l'assistance judiciaire si elle ne dispose pas de ressources suffisantes (let. a) et si sa cause ne paraît pas dépourvue de toute chance de succès (let. b). Selon l'art. 118 al. 1 let. c CPC, l'assistance judiciaire comprend notamment la commission d'office d'un conseil juridique par le tribunal lorsque la défense des droits du requérant l'exige, en particulier lorsque la partie adverse est assistée d'un avocat (al. 2, 1 ère et 2 ème phr.). Objectivement, la nécessité de l'assistance d'un conseil juridique dépend de la complexité plus ou moins grande de la cause, l'application de la maxime inquisitoire ou de la maxime d'office étant un facteur qui permet plus facilement à une partie d'agir seule ( DAAJ/51/2019 du 10 avril 2019 consid. 3.1.1; Tappy, Commentaire romand, CPC, 2 ème éd. 2019, n. 13 ad art. 118 CPC). Subjectivement, l'autorité doit tenir compte de la personne du requérant, de son âge, de sa formation, de sa plus ou moins grande familiarité avec la pratique judiciaire, voire de sa langue, etc. ( DAAJ/51/2019 du 10 avril 2019 consid. 3.1.1; Tappy, op. cit, n. 15 ad art. 118 CPC). Autrement dit, il convient de se demander si un justiciable raisonnable et de bonne foi, présentant les mêmes caractéristiques que le requérant, sans cependant disposer de moyens suffisants, ferait appel à un homme de loi (arrêt du Tribunal fédéral 5A_244/2014 du 25 juin 2014 consid. 4.2.1 et les références citées). Enfin, la loi mentionne l'hypothèse où la partie adverse est assistée d'un avocat, accordant ainsi une importance particulière au principe de l'égalité des armes, tel qu'il découle du droit à un procès équitable et qui en est l'un des éléments fondamentaux. L'égalité des armes exige un juste équilibre entre les parties : chacune doit se voir offrir une possibilité raisonnable de présenter sa cause dans des conditions qui ne la placent pas dans une situation de net désavantage par rapport à son ou ses adversaires (ATF 139 I 121 consid. 4.2.1; 137 IV 172 consid. 2.6; 137 V 210 consid. 2.1; 120 Ia 217 consid. 1, 119 Ia 134 consid. 4; arrêts du Tribunal fédéral 6B_993/2022 du 18 mars 2024 consid. 2.1 et les références citées; arrêt du Tribunal fédéral 6B_993/2022 du 18 mars 2024 consid. 2.1; 5A_244/2014 du 25 juin 2014 consid. 4.2.1, 5A_838/2013 du 3 février 2014 consid. 2.4 et 5A_395/2012 du 16 juillet 2012 consid. 4.3). La fourniture d'un conseil juridique rémunéré par l'Etat suppose ainsi la réalisation de trois conditions : une cause non dénuée de chances de succès, l'indigence et la nécessité de l'assistance par un professionnel (art. 29 al. 3 Cst. et 117 let. a et b CPC; ATF 141 III 560 consid. 3.2.1; arrêt du Tribunal fédéral 5A_489/2023 du 20 octobre 2023 consid. 3.6).</w:t>
      </w:r>
    </w:p>
    <w:p>
      <w:r>
        <w:rPr>
          <w:b/>
        </w:rPr>
        <w:t>E. 3.2</w:t>
      </w:r>
    </w:p>
    <w:p>
      <w:r>
        <w:t>En l'espèce, il ressort de la requête d'assistance juridique du recourant du 3 octobre 2024 qu'il avait requis la désignation d'un(e) avocat(e) pour défendre à la procédure de mesures protectrices de l'union conjugale, assortie de mesures provisionnelles formée par son épouse en ayant précisé que celle-ci était assistée par un conseil. L'égalité des armes commandait que le recourant soit aussi représenté par un conseil. Quand bien même le Tribunal a déjà rendu le jugement sur mesures protectrices de l'union conjugale, l'intérêt du recourant à obtenir l'assistance juridique persiste, puisque la question de la prise en charge des honoraires et frais de son conseil, qui l'a assisté dans cette procédure, demeure actuelle. Par conséquent, il se justifie d'annuler la décision de l'Autorité de première instance du 7 octobre 2024 et de lui retourner la cause pour examen de la condition d'indigence. Si celle-ci est remplie, l'assistance juridique devra être accordée au recourant, avec effet au 3 octobre 2024 et nomination de son conseil comme avocate de choix.</w:t>
      </w:r>
    </w:p>
    <w:p>
      <w:r>
        <w:rPr>
          <w:b/>
        </w:rPr>
        <w:t>E. 4</w:t>
      </w:r>
    </w:p>
    <w:p>
      <w:r>
        <w:t>Sauf exceptions non réalisées en l'espèce, il n'est pas perçu de frais judiciaires pour la procédure d'assistance juridique (art. 119 al. 6 CPC). Compte tenu de l'issue du litige, l'Etat de Genève sera condamné à verser au recourant 400 fr. à titre de dépens (ATF 140 III 501 consid. 4). * * * * * PAR CES MOTIFS, LA VICE-PRÉSIDENTE DE LA COUR : A la forme : Déclare recevable le recours formé par A______ contre la décision rendue le 7 octobre 2024 par la vice-présidence du Tribunal civil dans la cause AC/2582/2024. Au fond : Annule la décision querellée. Cela fait : Renvoie la cause à l'Autorité de première instance pour nouvelle décision dans le sens des considérants. Déboute A______ de toutes autres conclusions. Condamne l'Etat de Genève, soit pour lui les Services financiers du Pouvoir judiciaire, à verser la somme de 400 fr. à A______ titre de dépens. Notifie une copie de la présente décision à A______ en l'Étude de Me B______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