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AC/255/2019 vom 7. Februar 2019</w:t>
      </w:r>
    </w:p>
    <w:p>
      <w:r>
        <w:t>GE Cour de justice, 2019-02-07, FR</w:t>
      </w:r>
    </w:p>
    <w:p>
      <w:r>
        <w:rPr>
          <w:b/>
        </w:rPr>
        <w:t xml:space="preserve">Quelle: </w:t>
      </w:r>
      <w:r>
        <w:t>https://mcp.opencaselaw.ch/entscheid/ge_gerichte_AC_255_2019</w:t>
      </w:r>
    </w:p>
    <w:p>
      <w:r>
        <w:t>FR: GE_GERICHTE AC/255/2019 du 7 février 2019</w:t>
      </w:r>
    </w:p>
    <w:p>
      <w:r>
        <w:t>IT: GE_GERICHTE AC/255/2019 del 7 febbraio 2019</w:t>
      </w:r>
    </w:p>
    <w:p>
      <w:pPr>
        <w:pStyle w:val="Heading2"/>
      </w:pPr>
      <w:r>
        <w:t>Regeste</w:t>
      </w:r>
    </w:p>
    <w:p>
      <w:r>
        <w:t>PROTECTION DE L'UNION CONJUGALE;ACTION EN MODIFICATION;CHANCES DE SUCCÈS</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bien que le recourant n'ait pas pris de conclusions formelles en ce sens, l'on comprend qu'il sollicite l'annulation de la décision entreprise et l'octroi du bénéfice de l'assistance juridique. Par conséquent,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Aux termes de l'art. 326 al. 1 CPC, les allégations de faits et les preuves nouvelles sont irrecevables dans le cadre d'un recours. Par conséquent, les allégués de faits dont le recourant n'a pas fait état en première instance, notamment celles portant sur la modification de la situation financière de son épouse et le changement de jurisprudence du Tribunal fédéral, si tant est que ce dernier point puisse être qualifié de fait, ne seront pas pris en considération.</w:t>
      </w:r>
    </w:p>
    <w:p>
      <w:r>
        <w:rPr>
          <w:b/>
        </w:rPr>
        <w:t>E. 3</w:t>
      </w:r>
    </w:p>
    <w:p>
      <w:r>
        <w:t>3.1.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 3.1.1 Une fois que des mesures protectrices ont été ordonnées, elles ne peuvent être modifiées qu'aux conditions de l'art. 179 CC. Aux termes de l'art. 179 al. 1, 1ère phrase CC, le juge prononce les modifications commandées par les faits nouveaux et rapporte les mesures prises lorsque les causes qui les ont déterminées n'existent plus (arrêt du Tribunal fédéral 5A_562/2013 du 24 octobre 2013 consid. 3.1). La modification des mesures protectrices ne peut être obtenue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ou encore si la décision de mesures provisoires est apparue plus tard injustifiée parce que le juge appelé à statuer n'a pas eu connaissance de faits importants (arrêts du Tribunal fédéral 5A_297/2016 du 2 mai 2017 consid. 2.1; 5A_403/2016 du 24 février 2017 consid. 3.1; 5A_426/2016 du 2 novembre 2016 consid. 3.1 et la référence).</w:t>
      </w:r>
    </w:p>
    <w:p>
      <w:r>
        <w:rPr>
          <w:b/>
        </w:rPr>
        <w:t>E. 3.2</w:t>
      </w:r>
    </w:p>
    <w:p>
      <w:r>
        <w:t>En l'espèce, devant le premier juge, le recourant a exclusivement fait valoir ne pas être en mesure de verser les contributions d'entretien qu'il s'était engagé à verser sur mesures protectrices de l'union conjugale. Il n'a fait valoir aucune modification dans la situation familiale, ni pour lui-même, ni pour son épouse ou ses enfants, pas plus qu'il n'a plaidé une modification de la jurisprudence. Une modification durable des circonstances étant la condition sine qua non d'une entrée en matière sur une modification du jugement sur mesures protectrices de l'union conjugale, c'est à juste titre que l'autorité de première instance a refusé d'entrer en matière sur la requête d'assistance juridique du recourant au motif que les chances de succès de l'action étaient extrêmement faibles, voire nulles. Rien n'interdit cela étant au recourant de déposer devant le Vice-Président du Tribunal civil une nouvelle requête d'assistance juridique, fondée sur un état de fait différent de la première.</w:t>
      </w:r>
    </w:p>
    <w:p>
      <w:r>
        <w:rPr>
          <w:b/>
        </w:rPr>
        <w:t>E. 4</w:t>
      </w:r>
    </w:p>
    <w:p>
      <w:r>
        <w:t>Sauf exceptions non réalisées en l'espèce, il n'est pas perçu de frais judiciaires pour la procédure d'assistance juridique (art. 119 al. 6 CPC). * * * * * PAR CES MOTIFS, LE VICE-PRESIDENT DE LA COUR : A la forme : Déclare recevable le recours formé le 19 février 2019 par A______ contre la décision rendue le 7 février 2019 par le Vice-président du Tribunal civil dans la cause AC/255/2019. Au fond : Le rejette. Déboute A______ de toutes autres conclusions. Dit qu'il n'est pas perçu de frais judiciaires pour le recours, ni alloué de dépens. Notifie une copie de la présente décision à A______ (art. 327 al. 5 CPC et 8 al. 3 RAJ). Siégeant : Monsieur Patrick CHENAUX, Vice-président; Madame Maïté VALENTE, greffière. Le Vice-président : Patrick CHENAUX La greffière : Maïté VALENTE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