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AC/2557/2020 vom 18. September 2020</w:t>
      </w:r>
    </w:p>
    <w:p>
      <w:r>
        <w:t>GE Cour de justice, 2020-09-18, FR</w:t>
      </w:r>
    </w:p>
    <w:p>
      <w:r>
        <w:rPr>
          <w:b/>
        </w:rPr>
        <w:t xml:space="preserve">Quelle: </w:t>
      </w:r>
      <w:r>
        <w:t>https://mcp.opencaselaw.ch/entscheid/ge_gerichte_AC_2557_2020</w:t>
      </w:r>
    </w:p>
    <w:p>
      <w:r>
        <w:t>FR: GE_GERICHTE AC/2557/2020 du 18 septembre 2020</w:t>
      </w:r>
    </w:p>
    <w:p>
      <w:r>
        <w:t>IT: GE_GERICHTE AC/2557/2020 del 18 settembre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Seules les charges réellement acquittées sont susceptibles d'entrer dans le calcul du minimum vital, la situation économique existant au moment du dépôt de la requête étant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Il appartient au justiciable sollicitant l'aide de l'État d'adapter son train de vie aux moyens financiers dont il dispose en donnant priorité aux dépenses relevant du strict minimum vital (arrêt du Tribunal fédéral 1B_428/2010 du 2 février 2011 consid. 4).</w:t>
      </w:r>
    </w:p>
    <w:p>
      <w:r>
        <w:rPr>
          <w:b/>
        </w:rPr>
        <w:t>E. 3.2</w:t>
      </w:r>
    </w:p>
    <w:p>
      <w:r>
        <w:t>En l'espèce, c'est à juste titre, compte tenu des faits portés à sa connaissance, que la Vice-présidente du Tribunal de première instance a refusé d'octroyer le bénéfice de l'assistance juridique au recourant au motif que la condition d'indigence n'était pas remplie. C'est en effet sur la base des éléments que lui avait communiqués le recourant que l'Autorité de première instance a retenu des charges de loyer de 215 fr. 40 par mois. Les pièces produites par le recourant pour la première fois en seconde instance pour établir un montant plus élevé pour ce poste sont irrecevables, de même que les faits s'y rapportant. En tout état, seules les charges réelles peuvent être prises en considération dans l'examen de la situation financière du recourant, de sorte que le paiement d'un loyer hypothétique compris entre 1'300 fr. et 1'400 fr. ne saurait être pris en considération. Partant, le recours, infondé, sera rejeté. Cela étant, le recourant conserve la possibilité de déposer une nouvelle demande auprès de l'Assistance juridique s'il s'y estime fondé, en y exposant tous les faits nouveaux pertinents.</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6 octobre 2020 par A______ contre la décision rendue le 18 septembre 2020 par la Vice-présidente du Tribunal de première instance dans la cause AC/2557/2020.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