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AC/2514/2014 vom 22. Dezember 2015</w:t>
      </w:r>
    </w:p>
    <w:p>
      <w:r>
        <w:t>GE Cour de justice, 2015-12-22, FR</w:t>
      </w:r>
    </w:p>
    <w:p>
      <w:r>
        <w:rPr>
          <w:b/>
        </w:rPr>
        <w:t xml:space="preserve">Quelle: </w:t>
      </w:r>
      <w:r>
        <w:t>https://mcp.opencaselaw.ch/entscheid/ge_gerichte_AC_2514_2014</w:t>
      </w:r>
    </w:p>
    <w:p>
      <w:r>
        <w:t>FR: GE_GERICHTE AC/2514/2014 du 22 décembre 2015</w:t>
      </w:r>
    </w:p>
    <w:p>
      <w:r>
        <w:t>IT: GE_GERICHTE AC/2514/2014 del 22 dicembre 2015</w:t>
      </w:r>
    </w:p>
    <w:p>
      <w:pPr>
        <w:pStyle w:val="Heading2"/>
      </w:pPr>
      <w:r>
        <w:t>Regeste</w:t>
      </w:r>
    </w:p>
    <w:p>
      <w:r>
        <w:t>CHANCES DE SUCCÈS; PROTECTION DE L'UNION CONJUGALE</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138 al. 3 let. a et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Le droit d'être entendu, tel qu'il est garanti par l'art. 29 al. 2 Cst., comprend pour le justiciable le droit de s'exprimer sur les éléments pertinents avant qu'une décision ne soit prise touchant sa situation juridique (ATF 133 I 270 consid. 3.1 ; 126 I 15 consid. 2a/aa ; 124 I 49 consid. 3a).![endif]&gt;![if&gt;</w:t>
      </w:r>
    </w:p>
    <w:p>
      <w:r>
        <w:rPr>
          <w:b/>
        </w:rPr>
        <w:t>E. 2.2</w:t>
      </w:r>
    </w:p>
    <w:p>
      <w:r>
        <w:t>En l'occurrence, pour autant qu'il soit suffisamment motivé, le grief tiré d'une prétendue violation du droit d'être entendu est dénué de fondement, dès lors que le Vice-président du Tribunal civil était en possession de tous les renseignements nécessaires pour statuer sur la requête d'assistance juridique de la recourante.</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3.2.1. Aux termes de l'art. 176 al. 1 ch. 1 et 3 CC, le juge des mesures protectrices fixe la contribution pécuniaire à verser par l'une des parties à l'autre et ordonne les mesures nécessaires d'après les dispositions sur les effets de la filiation lorsqu'il y a des enfants mineurs. Tant que l'union conjugale n'est pas dissoute, les époux conservent, même après leur séparation, un droit égal de conserver leur train de vie antérieur, en application de l'art. 163 CC (arrêt du Tribunal fédéral 5A_515/2008 du 1 er décembre 2008). Si les moyens pour assurer le train de vie adopté ou souhaité par le couple manquent, et notamment si les besoins de base ne sont plus couverts, le juge peut, dans certains cas, tenir compte d'un revenu hypothétique supérieur d'un des deux époux, cela étant admissible notamment si un époux a réduit intentionnellement ses revenus de manière infondée ou lorsqu'il ne réalise pas pleinement son potentiel de gain bien que la situation familiale l'exige. Le revenu hypothétique correspond au revenu que l'on peut raisonnablement attendre d'un époux de bonne foi, en tenant compte notamment de son âge, de sa formation, de la durée du mariage, de son état de santé, aussi bien que du marché de l'emploi et de la situation économique générale (Deschenaux/ Steinauer/Baddeley, Les effets du mariage, 2 ème éd., 2009, n. 625). En tout état, la contribution ne doit pas entamer le minimum vital du débirentier (ATF 135 III 66 ). 3.2.2. Selon l'art. 273 al. 1 CC, le père ou la mère qui ne détient pas l'autorité parentale ou la garde ainsi que l'enfant mineur ont réciproquement le droit d'entretenir les relations personnelles indiquées par les circonstances. Le juge détient un large pouvoir d'appréciation à cet égard (art. 4 CC).</w:t>
      </w:r>
    </w:p>
    <w:p>
      <w:r>
        <w:rPr>
          <w:b/>
        </w:rPr>
        <w:t>E. 3.3</w:t>
      </w:r>
    </w:p>
    <w:p>
      <w:r>
        <w:t>En l'espèce, la recourante reproche au TPI d'avoir imputé un revenu hypothétique trop bas à son mari. Cela étant, parmi les critères apparemment retenus tant par la recourante que par le TPI dans le calculateur de salaires "Salarium", il semblerait que la principale différence réside dans le fait que recourante a pris en compte un 13 ème salaire, contrairement au TPI. Or, comme l'a relevé le Vice-président du Tribunal civil, le versement d'un 13 ème salaire n'est pas usuel pour les indépendants. En conséquence, il paraît prima facie peu probable qu'un revenu hypothétique plus élevé soit imputé au mari de la recourante. En ce qui concerne le montant du loyer de son mari, la recourante ayant elle-même conclu, dans sa requête de mesures protectrices, à ce que la jouissance du domicile conjugal soit attribuée à celui-ci, elle est malvenue de se plaindre que le loyer de ce logement ait été retenu par le premier juge dans le décompte de ses charges. Le grief de la recourante sur ce point paraît donc infondé, ce d'autant plus qu'un loyer de 1'640 fr. pour un appartement de quatre pièces paraît raisonnable au vu du marché de la location à Genève. Par ailleurs, comme l'a relevé le Vice-président du Tribunal civil, le mari de la recourante doit pouvoir accueillir décemment ses enfants chez lui lorsqu'il exerce son droit de visite. Quand bien même le père ne dispose en l'état d'aucun droit de visite sur sa fille aînée, rien ne permet a priori d'inférer que cette situation ne changera pas à l'avenir et il ne semble pas justifié qu'il doive changer d'appartement dans l'intervalle. Par ailleurs, hormis le montant du loyer, les charges des enfants telles que retenues par le TPI ne semblent pas critiquables, étant relevé que la majoration de 20% de la base OP n'a plus lieu d'être selon la jurisprudence du Tribunal fédéral (arrêt du Tribunal fédéral 5A_673/2011 du 11 avril 2012 consid. 2.3.2). Quand bien même le montant du loyer hypothétique (1'500 fr., dont 30% correspondant à la part des enfants = 450 fr.) retenu par le TPI est inférieur au montant effectif du nouveau loyer de la recourante (soit 1'696 fr., dont 30% à charge des enfants = 508 fr. 80), la faible différence de loyer ne change pas les charges des enfants de manière significative. Dès lors que le montant de la contribution d'entretien (1'100 fr.) fixée par le premier juge en faveur des enfants paraît équitable au regard de la situation financière des parties, il semble à première vue peu probable que la recourante obtienne gain de cause sur ce point. Pour les mêmes motifs, le montant de la contribution d'entretien en faveur de la recourante, fixé en équité à 350 fr., ne paraît a priori pas non plus critiquable. Concernant le droit de visite, aucun élément du dossier ne semble de prime abord indiquer que le père ne serait pas en mesure de s'occuper adéquatement de sa fille cadette durant les vacances scolaires, de sorte qu'il apparaît peu vraisemblable que la Cour s'écarte de ce qui a été préconisé par le SPMi. Compte tenu de ce qui précède, c'est à bon droit que le Vice-président du Tribunal civil a considéré que l'appel de la recourante contre le jugement de mesures protectrices de l'union conjugale paraissait dénué de chances de succès. Partant, le recours, infondé, sera rejeté.</w:t>
      </w:r>
    </w:p>
    <w:p>
      <w:r>
        <w:rPr>
          <w:b/>
        </w:rPr>
        <w:t>E. 4</w:t>
      </w:r>
    </w:p>
    <w:p>
      <w:r>
        <w:t>Sauf exceptions non réalisées en l'espèce, il n'est pas perçu de frais judiciaires pour la procédure d'assistance juridique (art. 119 al. 6 CPC). Par ailleurs, vu l'issue du recours, il n'y a pas lieu à l'octroi de dépens, étant rappelé que selon la pratique constante de l'Autorité de céans, aucune indemnité de dépens n'est allouée en matière d'assistance judiciaire, notamment au vu du caractère simple et non formel de cette procédure (décisions publiées DAAJ/34/2013 du 30 avril 2013 consid. 3, DAAJ/5/2015 du 5 février 2015 consid. 4).![endif]&gt;![if&gt; * * * * * PAR CES MOTIFS, LE VICE-PRÉSIDENT DE LA COUR : A la forme : Déclare recevable le recours formé par A______ contre la décision rendue le 22 décembre 2015 par le Vice-président du Tribunal civil dans la cause AC/2514/2014. Au fond : Le rejette. Déboute A______ de toutes autres conclusions. Dit qu'il n'est pas perçu de frais judiciaires pour le recours, ni alloué de dépens. Notifie une copie de la présente décision à A______ en l'Étude de M e Laurence MIZRAHI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