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AC/2477/2020 vom 17. September 2020</w:t>
      </w:r>
    </w:p>
    <w:p>
      <w:r>
        <w:t>GE Cour de justice, 2020-09-17, FR</w:t>
      </w:r>
    </w:p>
    <w:p>
      <w:r>
        <w:rPr>
          <w:b/>
        </w:rPr>
        <w:t xml:space="preserve">Quelle: </w:t>
      </w:r>
      <w:r>
        <w:t>https://mcp.opencaselaw.ch/entscheid/ge_gerichte_AC_2477_2020</w:t>
      </w:r>
    </w:p>
    <w:p>
      <w:r>
        <w:t>FR: GE_GERICHTE AC/2477/2020 du 17 septembre 2020</w:t>
      </w:r>
    </w:p>
    <w:p>
      <w:r>
        <w:t>IT: GE_GERICHTE AC/2477/2020 del 17 settembre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A teneur de l'art. 85 al. 1 LDIP, dans le domaine de la protection des enfants, la question du droit applicable se résout selon la Convention conclue à La Haye le 19 octobre 1996 concernant la compétence, la loi applicable, la reconnaissance, l'exécution et la coopération en matière de responsabilité parentale et de mesures de protection des enfants (CLaH96, RS 0.211.231.011; art. 1 al. 1 let. b et art. 3, puis 15 à 22 CLaH96; arrêt du Tribunal fédéral 5A_146/2014 du 19 juin 2014 consid. 3.1.1), laquelle a été signée et ratifiée tant par la Suisse que par la France (arrêt du Tribunal fédéral 5A_884/2013 du 19 décembre 2013 consid. 4.1). 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(arrêts du 5A_146/2014 du 19 juin 2014 consid. 3.1.1; 5A_622/2010 du 27 juin 2011 consid. 3 et les références citées, singulièrement la note précisant que la proposition de plusieurs États, selon laquelle un tribunal saisi devrait conserver sa compétence jusqu'au terme de la procédure, a été rejetée par une large majorité de la Commission). Il s'ensuit que, dans les relations entre États contractants, le changement de résidence habituelle du mineur entraîne un changement simultané de la compétence (arrêt 5A_146/2014 du 19 juin 2014 consid. 3.1.1; s'agissant de la CLaH61: ATF 132 III 586 consid. 2.2.4 p. 591). Le transfert de la résidence dans un autre Etat contractant produit le même effet lorsque le mineur déplace sa résidence habituelle postérieurement au commencement de la procédure, même si l'instance est pendante en appel. Cette autorité perd la compétence pour statuer sur les mesures de protection au sens large (ATF 143 III 193 consid. 2; 132 III 586 consid. 2.3.1; arrêts du Tribunal fédéral 5A_622/2010 du 27 juin 2011; 5A_131/2011 du 31 mars 2011 consid. 3.3).</w:t>
      </w:r>
    </w:p>
    <w:p>
      <w:r>
        <w:rPr>
          <w:b/>
        </w:rPr>
        <w:t>E. 2.2</w:t>
      </w:r>
    </w:p>
    <w:p>
      <w:r>
        <w:t>En l'espèce, la recourante affirme que la mineure résiderait dans un foyer situé en Suisse. Elle se fonde sur un préavis du SPMi du 16 février 2018 pour étayer ses dires. Bien que ledit préavis paraisse ancien, et vraisemblablement périmé, eu égard aux nouveaux développements qu'a connu le dossier, notamment le placement provisoire de l'enfant auprès de son père en France, aucune pièce n'a été produite, ni invoquée par l'autorité précédente qui démontrerait que l'enfant aurait été effectivement déplacée en France à la suite des décisions rendues le 8 juillet 2020. S'il est conforme à la jurisprudence de retenir que le déplacement de l'enfant à l'étranger entraîne un transfert de for immédiat en faveur de dites autorités étrangères, plus particulièrement dans le cas de la France, encore faut-il que l'installation de l'enfant à l'étranger repose sur des éléments factuels, qui font défaut ici. Il ressort de la décision DTAE/4146/2020 , dont il n'est pas avéré que la recourante ait pu en prendre connaissance avant le prononcé de la décision d'assistance juridique entreprise, que l'enfant était " temporairement " retournée en foyer à une époque indéterminée. Or, aucun élément ne permet de retenir si et quand elle a rejoint son père. En tous les cas, si l'autorité suisse s'est déclarée compétente pour statuer en juillet 2020, il est vraisemblable que l'enfant résidait alors en Suisse. Il se justifie donc de compléter le dossier en invitant la recourante, dans un délai raisonnable, à apporter toute preuve permettant de démontrer que l'enfant résiderait encore en Suisse, là où elle le prétend, et non en France. Elle y sera astreinte en vertu de son devoir de collaboration applicable en l'occurrence. La décision entreprise sera donc annulée et la cause renvoyée à l'autorité précédente afin qu'elle statue à nouveau dans le sens des considérants.</w:t>
      </w:r>
    </w:p>
    <w:p>
      <w:r>
        <w:rPr>
          <w:b/>
        </w:rPr>
        <w:t>E. 3</w:t>
      </w:r>
    </w:p>
    <w:p>
      <w:r>
        <w:t>Sauf exceptions non réalisées en l'espèce, il n'est pas perçu de frais judiciaires pour la procédure d'assistance juridique (art. 119 al. 6 CPC). Compte tenu de l'issue du litige, l'Etat de Genève sera condamné à verser à la recourante 400 fr. à titre de dépens (ATF 140 III 501 consid. 4). * * * * * PAR CES MOTIFS, LE VICE-PRÉSIDENT DE LA COUR : A la forme : Déclare recevable le recours formé par A______ contre la décision rendue le 17 septembre 2020 par la Vice-présidente du Tribunal de première instance dans la cause AC/2477/2020. Au fond : Annule la décision entreprise. Cela fait : Renvoie la cause à la Vice-présidente du Tribunal de première instance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 e Howard Jan KROOGER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