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AC/246/2020 vom 19. Februar 2020</w:t>
      </w:r>
    </w:p>
    <w:p>
      <w:r>
        <w:t>GE Cour de justice, 2020-02-19, FR</w:t>
      </w:r>
    </w:p>
    <w:p>
      <w:r>
        <w:rPr>
          <w:b/>
        </w:rPr>
        <w:t xml:space="preserve">Quelle: </w:t>
      </w:r>
      <w:r>
        <w:t>https://mcp.opencaselaw.ch/entscheid/ge_gerichte_AC_246_2020</w:t>
      </w:r>
    </w:p>
    <w:p>
      <w:r>
        <w:t>FR: GE_GERICHTE AC/246/2020 du 19 février 2020</w:t>
      </w:r>
    </w:p>
    <w:p>
      <w:r>
        <w:t>IT: GE_GERICHTE AC/246/2020 del 19 febbraio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la pièce nouvelle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3.1.2 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(arrêt du Tribunal fédéral 5A_502/2017 du 15 août 2017 consid 3.2).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5A_502/2017 du 15 août 2017 consid 3.2).</w:t>
      </w:r>
    </w:p>
    <w:p>
      <w:r>
        <w:rPr>
          <w:b/>
        </w:rPr>
        <w:t>E. 3.2</w:t>
      </w:r>
    </w:p>
    <w:p>
      <w:r>
        <w:t>En l'espèce, le recourant a indiqué vouloir l'assistance juridique pour la procédure C/1______/2015 pendante devant le TPAE. Le premier juge a constaté de lui-même, en consultant la base de donnée du pouvoir judiciaire, que cette procédure tendait à fixer les modalités du droit de visite du recourant sur son fils. Certes, le recourant a indiqué dans le formulaire que l'objet de la procédure concernait le "droit de garde" sur son fils. Il n'a toutefois pas annoncé vouloir ouvrir une autre procédure que celle pendante devant le TPAE, de sorte qu'il était manifeste que c'était par erreur qu'il a mentionné le "droit de garde" au lieu du "droit de visite". Il ne fait ainsi aucun doute que le recourant réclame le bénéfice de l'assistance juridique exclusivement pour la procédure C/1______/2015 pendante devant le TPAE, et non pour ouvrir une action en modification de divorce devant le Tribunal de première instance. Par ailleurs, s'il est exact que le recourant est assisté d'un conseil, de sorte qu'en principe le premier juge n'avait pas à l'interpeller afin qu'il complète sa requête, c'est bien le recourant, et non son conseil, que le service de l'assistance juridique a interpellé par deux fois pour qu'il complète sa requête s'agissant de ses revenus et ses charges. Le premier juge aurait ainsi pu lui demander dans ces mêmes courriers, si tant est qu'un doute subsistait dans son esprit, quel était l'objet précis de la procédure pour laquelle il voulait obtenir l'assistance juridique. Le recours sera donc admis, la décision querellée annulée et la cause renvoyée à la Vice-présidente du Tribunal de première instance pour examen des conditions d'indigence et des chances de succès de la procédure la procédure C/1______/2015 pendante devant le TPAE.</w:t>
      </w:r>
    </w:p>
    <w:p>
      <w:r>
        <w:rPr>
          <w:b/>
        </w:rPr>
        <w:t>E. 4</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 PAR CES MOTIFS, LE VICE-PRÉSIDENT DE LA COUR : A la forme : Déclare recevable le recours formé le 26 février 2020 par A______ contre la décision rendue le 19 février 2020 par la Vice-présidente du Tribunal de première instance dans la cause AC/246/2020. Au fond : Annule la décision entreprise. Cela fait : Renvoie la cause à la Vice-présidente du Tribunal de première instance pour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 e Bernard NUZZO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