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AC/2436/2015 vom 18. April 2016</w:t>
      </w:r>
    </w:p>
    <w:p>
      <w:r>
        <w:t>GE Cour de justice, 2016-04-18, FR</w:t>
      </w:r>
    </w:p>
    <w:p>
      <w:r>
        <w:rPr>
          <w:b/>
        </w:rPr>
        <w:t xml:space="preserve">Quelle: </w:t>
      </w:r>
      <w:r>
        <w:t>https://mcp.opencaselaw.ch/entscheid/ge_gerichte_AC_2436_2015</w:t>
      </w:r>
    </w:p>
    <w:p>
      <w:r>
        <w:t>FR: GE_GERICHTE AC/2436/2015 du 18 avril 2016</w:t>
      </w:r>
    </w:p>
    <w:p>
      <w:r>
        <w:t>IT: GE_GERICHTE AC/2436/2015 del 18 aprile 2016</w:t>
      </w:r>
    </w:p>
    <w:p>
      <w:pPr>
        <w:pStyle w:val="Heading2"/>
      </w:pPr>
      <w:r>
        <w:t>Regeste</w:t>
      </w:r>
    </w:p>
    <w:p>
      <w:r>
        <w:t>IMMEUBLE; 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w:t>
      </w:r>
    </w:p>
    <w:p>
      <w:r>
        <w:rPr>
          <w:b/>
        </w:rPr>
        <w:t>E. 3.2</w:t>
      </w:r>
    </w:p>
    <w:p>
      <w:r>
        <w:t>En l'espèce, la question de savoir si la situation financière présentée par le recourant est vraisemblable peut rester indécise pour les motifs qui suivent. Le recourant a affirmé que le bien immobilier dont il est copropriétaire avec son ex-épouse allait être vendu d'ici le mois de juin 2016, de sorte qu'il paraît fort probable que la vente en question a eu lieu ou aura lieu de manière imminente, pour un prix dépassant 600'000 Euros, étant précisé que ce bien n'est plus hypothéqué puisqu'il résulte des déclarations du recourant que l'emprunt hypothécaire qui avait servi à financer l'achat et la rénovation de celui-ci a été intégralement remboursé par ses parents. Il peut ainsi être exigé du recourant qu'il affecte une partie du produit de la vente en priorité aux frais de la procédure envisagée et aux honoraires de son avocat, plutôt qu'au remboursement de sa dette envers ses parents. Partant,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18 avril 2016 par le Vice-président du Tribunal civil dans la cause AC/2436/2015.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