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AC/238/2015 vom 3. Februar 2015</w:t>
      </w:r>
    </w:p>
    <w:p>
      <w:r>
        <w:t>GE Cour de justice, 2015-02-03, FR</w:t>
      </w:r>
    </w:p>
    <w:p>
      <w:r>
        <w:rPr>
          <w:b/>
        </w:rPr>
        <w:t xml:space="preserve">Quelle: </w:t>
      </w:r>
      <w:r>
        <w:t>https://mcp.opencaselaw.ch/entscheid/ge_gerichte_AC_238_2015</w:t>
      </w:r>
    </w:p>
    <w:p>
      <w:r>
        <w:t>FR: GE_GERICHTE AC/238/2015 du 3 février 2015</w:t>
      </w:r>
    </w:p>
    <w:p>
      <w:r>
        <w:t>IT: GE_GERICHTE AC/238/2015 del 3 febbraio 2015</w:t>
      </w:r>
    </w:p>
    <w:p>
      <w:pPr>
        <w:pStyle w:val="Heading2"/>
      </w:pPr>
      <w:r>
        <w:t>Regeste</w:t>
      </w:r>
    </w:p>
    <w:p>
      <w:r>
        <w:t>ASSISTANCE JUDICIAIRE; NÉCESSITÉ; AVOCAT; ACTION EN DÉSAVEU</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Il faut que l'assistance judiciaire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Dans chaque cas, il faut se demander si une personne raisonnable et de bonne foi, qui présenterait les mêmes caractéristiques que le requérant, mais disposerait de ressources suffisantes, ferait ou non appel à un avocat (Corboz, op. cit., p. 80 ss).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3.2</w:t>
      </w:r>
    </w:p>
    <w:p>
      <w:r>
        <w:t>En l'espèce, il ne résulte pas du dossier que la procédure de désaveu de paternité intentée par l'enfant soit complexe. Il n'est notamment pas allégué qu'il soit contesté par l'une des parties que l'ex-époux de la recourante ne soit pas le père biologique de l'enfant. La recourante fait l'objet d'une curatelle de portée générale assurée par le Service de protection de l'adulte. Etant au bénéfice d'une telle protection, la recourante n'a pas besoin d'être représentée par un avocat, mais uniquement d'être assistée de son curateur, dans une procédure soumise à la maxime d'office. Le choix du Service de protection de l'adulte de faire appel à un avocat afin de suppléer à ses carences organisationnelles – absence de curateur le jour de l'audience du 6 février 2015 en raison de la cessation de l'activité de l'ancien curateur au 31 janvier 2015 et de l'entrée en fonction du nouveau curateur au 9 février 2015 – ne saurait rendre la présence d'un tel conseil nécessaire. Compte tenu de ce qui précède, le recours sera rejeté.</w:t>
      </w:r>
    </w:p>
    <w:p>
      <w:r>
        <w:rPr>
          <w:b/>
        </w:rPr>
        <w:t>E. 4</w:t>
      </w:r>
    </w:p>
    <w:p>
      <w:r>
        <w:t>Sauf exceptions non réalisées en l'espèce, il n'est pas perçu de frais judiciaires pour la procédure d'assistance juridique (art. 119 al. 6 CPC).![endif]&gt;![if&gt;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(arrêts publiés DAAJ/34/2013 du 30 avril 2013 consid. 3; DAAJ/5/2015 du 5 février 2015 consid. 4). * * * * * PAR CES MOTIFS, LE VICE-PRÉSIDENT DE LA COUR : A la forme : Déclare recevable le recours formé par A______ contre la décision rendue le 3 février 2015 par le Vice-président du Tribunal civil dans la cause AC/238/2015. Au fond : Le rejette. Déboute A______ de toutes autres conclusions. Dit qu'il n'est pas perçu de frais judiciaires pour le recours. Notifie une copie de la présente décision à A______ en l'Étude de M e Ghislaine de MARSANO-ERNOULT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