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AC/2380/2012 vom 11. Dezember 2012</w:t>
      </w:r>
    </w:p>
    <w:p>
      <w:r>
        <w:t>GE Cour de justice, 2012-12-11, FR</w:t>
      </w:r>
    </w:p>
    <w:p>
      <w:r>
        <w:rPr>
          <w:b/>
        </w:rPr>
        <w:t xml:space="preserve">Quelle: </w:t>
      </w:r>
      <w:r>
        <w:t>https://mcp.opencaselaw.ch/entscheid/ge_gerichte_AC_2380_2012</w:t>
      </w:r>
    </w:p>
    <w:p>
      <w:r>
        <w:t>FR: GE_GERICHTE AC/2380/2012 du 11 décembre 2012</w:t>
      </w:r>
    </w:p>
    <w:p>
      <w:r>
        <w:t>IT: GE_GERICHTE AC/2380/2012 del 11 dicembre 2012</w:t>
      </w:r>
    </w:p>
    <w:p>
      <w:pPr>
        <w:pStyle w:val="Heading2"/>
      </w:pPr>
      <w:r>
        <w:t>Regeste</w:t>
      </w:r>
    </w:p>
    <w:p>
      <w:r>
        <w:t>ASSISTANCE JUDICIAIRE; DÉNUEMENT; PROPRIÉTÉ FONCIÈRE | Cst.29.3; CPC.117.A; CPC.256; CPC.319</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déposé dans le délai utile et en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Le recourant reproche au premier juge de ne pas avoir motivé sa décision.</w:t>
      </w:r>
    </w:p>
    <w:p>
      <w:r>
        <w:rPr>
          <w:b/>
        </w:rPr>
        <w:t>E. 2.1</w:t>
      </w:r>
    </w:p>
    <w:p>
      <w:r>
        <w:t>Il découle du droit d'être entendu, au sens de l'art. 29 al. 2 de la Constitution,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 Ainsi, les parties doivent pouvoir connaître les éléments de fait et de droit retenus par le juge pour arriver au dispositif (Tappy, in CPC, Code de procédure civile commenté, Bohnet/Haldy/Jeandin/Schweizer/Tappy, éd. 2011, n. 7 ad art. 238). En procédure sommaire, la motivation peut être plus succincte qu'en procédure ordinaire (Mazan, Commentaire bâlois,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 Le droit d'être entendu est une garantie constitutionnelle de caractère formel, dont la violation doit en principe entraîner l'annulation de la décision attaquée indépendamment des chances de succès du recourant sur le fond (ATF 127 V 431 consid. 3d/aa ; arrêt du Tribunal fédéral 8C_104/2010 du 20 septembre 2010 consid. 3.2).</w:t>
      </w:r>
    </w:p>
    <w:p>
      <w:r>
        <w:rPr>
          <w:b/>
        </w:rPr>
        <w:t>E. 2.2</w:t>
      </w:r>
    </w:p>
    <w:p>
      <w:r>
        <w:t>En l'espèce, la décision querellée expose clairement qu'un propriétaire d'immeuble, tel le recourant, doit mettre à contribution son patrimoine immobilier avant de pouvoir prétendre à l'assistance juridique. Cette motivation, même si elle est succincte, est suffisante. Le recourant a d'ailleurs compris les motifs pour lesquels le premier juge lui a refusé l'octroi de l'assistance juridique, puisqu'il fait valoir dans son recours qu'il n'était pas en mesure de gager ses immeubles. Dès lors, le grief est infondé.</w:t>
      </w:r>
    </w:p>
    <w:p>
      <w:r>
        <w:rPr>
          <w:b/>
        </w:rPr>
        <w:t>E. 3</w:t>
      </w:r>
    </w:p>
    <w:p>
      <w:r>
        <w:t>Le recourant reproche au premier juge ne de pas avoir examiné s'il pouvait effectivement mettre en gage ses immeubles ou les vendre avec un bénéfice.</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9C_147/2011 du 20 juin 2011). L'État ne peut toutefois exiger du requérant utilise qu'il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(DAAJ/Donzallaz, Loi sur le Tribunal fédéral : commentaire, Berne 2008, n. 1815 ad art. 64 LTF).</w:t>
      </w:r>
    </w:p>
    <w:p>
      <w:r>
        <w:rPr>
          <w:b/>
        </w:rPr>
        <w:t>E. 3.2</w:t>
      </w:r>
    </w:p>
    <w:p>
      <w:r>
        <w:t>En l'espèce, le premier juge a retenu à juste titre qu'il pouvait être exigé du recourant, qui ne dispose pas de liquidités suffisantes pour s'acquitter de l'avance de frais qui lui avait été demandée, qu'il requiert un crédit garanti par son bien immobilier, voire procède à la vente de ce bien. Cette obligation lui a d'ailleurs déjà été rappelée dans l'arrêt de la cour de justice du 17 décembre 2010. Certes, le recourant a prouvé qu'un prêt lui a été récemment refusé. En revanche, il n'explique pas quels sont les motifs de ce refus, notamment que ces immeubles seraient d'ores et déjà grevés de dettes, ni s'il s'agissait d'un crédit personnel ou garanti par ses biens immobiliers. Par ailleurs, même à retenir que l'absence de revenus du recourant l'empêcherait de contracter un emprunt, il lui reste la possibilité d'aliéner l'un de ses immeubles. La valeur des biens immobiliers excède, en effet, largement le montant d'une "réserve de secours", de sorte qu'il peut être exigé du recourant qu'il aliène la maison inoccupée de D______ qui a été évaluée à 204'000 fr. en son état actuel et dont il n'est pas prouvé qu'elle soit grevée de dettes. Compte tenu de ce qui précède,le recours est infondé etle jugement entrepris doit être confirmé.</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11 décembre 2012 par la Vice-présidente du Tribunal civil dans la cause AC/2380/2012. Au fond : Rejette le recours. Déboute A______ de toutes autres conclusions. Dit qu'il n'est pas perçu de frais judiciaires. Notifie une copie de la présente décision à A______ en l'étude de M e Jaroslaw GRABOWSKI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