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AC/237/2013 vom 2. September 2013</w:t>
      </w:r>
    </w:p>
    <w:p>
      <w:r>
        <w:t>GE Cour de justice, 2013-09-02, FR</w:t>
      </w:r>
    </w:p>
    <w:p>
      <w:r>
        <w:rPr>
          <w:b/>
        </w:rPr>
        <w:t xml:space="preserve">Quelle: </w:t>
      </w:r>
      <w:r>
        <w:t>https://mcp.opencaselaw.ch/entscheid/ge_gerichte_AC_237_2013</w:t>
      </w:r>
    </w:p>
    <w:p>
      <w:r>
        <w:t>FR: GE_GERICHTE AC/237/2013 du 2 septembre 2013</w:t>
      </w:r>
    </w:p>
    <w:p>
      <w:r>
        <w:t>IT: GE_GERICHTE AC/237/2013 del 2 settembre 2013</w:t>
      </w:r>
    </w:p>
    <w:p>
      <w:pPr>
        <w:pStyle w:val="Heading2"/>
      </w:pPr>
      <w:r>
        <w:t>Regeste</w:t>
      </w:r>
    </w:p>
    <w:p>
      <w:r>
        <w:t>CHANCES DE SUCCÈS; ACTION EN PAIEMENT | CO.29; CO.31;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La quittance pour solde de compte contient en particulier une reconnaissance négative de dette, soit une déclaration de volonté par laquelle une personne reconnaît n'avoir pas ou plus de prétentions à faire valoir relativement à une créance ou à un rapport de droit (ATF 127 III 444 consid. 1a; arrêt du Tribunal fédéral 4A_97/2007 du 10 octobre 2007 consid. 3.2, in SJ 2008 I 237). La reconnaissance négative de dette peut porter sur une dette existante; elle s'analyse alors comme une remise de dette (cf. art. 115 CO). Le plus souvent toutefois, la dette en cause est incertaine, parce qu'elle est contestée ou simplement considérée comme possible par les parties; la reconnaissance négative de dette emporte alors une renonciation matérielle à une prétention, que d'aucuns qualifient de remise de dette éventuelle («eventueller Erlass»; arrêt du Tribunal fédéral 4A_191/2013 du 5 août 2013 consid. 3.1, 4A_97/2007 du 10 octobre 2007 consid. 3.2, in SJ 2008 I 237). Comme toute déclaration de volonté, la reconnaissance négative de dette s'interprète selon le principe de la confiance. Il s'agit de rechercher comment elle pouvait être comprise de bonne foi en fonction de l'ensemble des circonstances (interprétation objective; ATF 136 III 186 consid. 3.2.1;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136 III 186 consid. 3.2.1). Le principe de la confiance permet d'imputer à une partie le sens objectif de sa déclaration ou de son comportement, même s'il ne correspond pas à sa volonté intime. Il n'y a cependant pas lieu de s'écarter du sens littéral du texte adopté par les intéressés lorsqu'il n'existe aucune raison sérieuse de penser qu'il ne correspond pas à leur volonté.</w:t>
      </w:r>
    </w:p>
    <w:p>
      <w:r>
        <w:rPr>
          <w:b/>
        </w:rPr>
        <w:t>E. 2.3</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Le fardeau de la preuve de l'existence d'une menace et de l'effet causal de celle-ci sur la conclusion du contrat appartient à la partie menacée (arrêt du Tribunal fédéral 4A_259/2009 du 5 août 2009 consid. 2.1.1).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(ATF 111 II 349 consid. 3; arrêt du Tribunal fédéral 4A_259/2009 du 5 août 2009 consid. 2.1.2).</w:t>
      </w:r>
    </w:p>
    <w:p>
      <w:r>
        <w:rPr>
          <w:b/>
        </w:rPr>
        <w:t>E. 2.4</w:t>
      </w:r>
    </w:p>
    <w:p>
      <w:r>
        <w:t>En l'espèce, en signant le document le 19 août 2003, le recourant a donné quittance à l'hôtel et à l'"autre client", reconnaissant ainsi n'avoir plus aucune créance à faire valoir envers eux. Cette déclaration doit dès lors être qualifiée de reconnaissance négative de dette, dont la portée doit être interprétée selon le principe de la confiance. Il ressort de la procédure pénale qu'à la suite de sa brève altercation avec son opposant, le recourant ne présentait pas de lésions nécessitant des soins et qu'il marchait normalement. Dans cette mesure et au vu de la somme importante proposée au recourant, les cosignataires de la quittance pouvaient vraisemblablement, selon le principe de la confiance, comprendre que le recourant considérait avoir été suffisamment indemnisé pour les inconvénients que l'altercation avait pu lui causer, raison pour laquelle la renonciation du recourant à ses droits pour toutes actions futures doit être interprétée selon son sens littéral. Il est ainsi peu vraisemblable que ladite quittance ne soit valable qu'en lien avec la brève altercation en tant que telle et pas pour les éventuelles conséquences futures de celle-ci. Au demeurant, si le recourant souhaitait exclure de l'accord l'incertitude existant au sujet d'éventuelles complications pouvant survenir à l'avenir, il lui appartenait de le mentionner explicitement dans le document litigieux, ce qu'il pouvait faire lorsqu'il y a apposé sa signature. Il faut ainsi admettre, prima facie , que la reconnaissance négative de dette incorporée dans la quittance que le recourant a signée couvre la prétention en dommages-intérêts qu'il élève dans le cadre du procès pendant devant les juridictions civiles. Le moyen tiré d'une violation des art. 18 et 88 CO paraît donc, a priori , mal fondé. Par ailleurs, la plainte pénale déposée par le recourant ne fait pas état d'une quelconque contrainte ou menace employées contre lui au moment des négociations et de la signature de la quittance litigieuse. Même si plusieurs heures se sont écoulées entre l'altercation et la signature de la quittance, cela ne suffit pas pour démontrer que des contraintes ont été exercées. Au contraire, le fait que le recourant ait pu téléphoner à diverses personnes à la suite de l'altercation et demander l'intervention d'un diplomate ______ rend vraisemblable qu'il était libre d'agir à sa guise et qu'aucune pression n'a été exercée à son encontre. Sa renonciation à contacter la police le soir de l'incident constitue un indice supplémentaire de sa volonté de parvenir à une transaction pour mettre fin au litige. Compte tenu de ce qui précède, il est peu vraisemblable que le recourant ait transigé sous l'empire d'une crainte fondée. Même à supposer que le recourant parvienne à démontrer qu'il a été victime d'une crainte fondée, il n'a pas déclaré invalider l'accord dans le délai d'un an de l'art. 31 CO. Le recourant fait valoir à cet égard que le dépôt de la plainte pénale accompagnée de la quittance litigieuse constituerait une manifestation de volonté de sa part de ne pas être lié par l'accord intervenu. Une telle manifestation de volonté doit cependant ressortir de l'acte invoqué et être reconnaissable pour le cocontractant. Or, en l'espèce, la plainte pénale ne contient aucune manifestation quelconque d'invalidation de la transaction. Le recourant n'a ainsi pas déclaré à temps invalider l'accord intervenu, de sorte qu' a priori , cet accord lie les parties. Au demeurant, compte tenu des principes rappelés ci-dessus, l'invalidation d'une transaction pour cause de crainte fondée ne doit pas être admise trop facilement. En tout état, il y a lieu de relever que les prétentions du recourant paraissent vouées à l'échec, dès lors que le dommage allégué, notamment en lien avec son incapacité de travail, ne semble, prima facie, pas en lien de causalité avec l'altercation, dans la mesure où le recourant se trouvait d'ores et déjà en incapacité totale de travailler depuis quinze mois environ au moment des faits litigieux, en raison de problèmes de dos. En ce qui concerne le tort moral, il est également peu vraisemblable qu'un lien de causalité puisse être retenu entre l'altercation et les souffrances psychiques alléguées, dès lors que le recourant a déclaré avoir fait l'objet de diverses menaces de mort - de la part de personnes dont il n'est pas établi qu'elles auraient un rapport avec les cosignataires de la quittance litigieuse - et que ces menaces sont probablement davantage en lien avec les souffrances psychiques du recourant que la brève altercation du mois de juin 2003. Le fait que le TAF ait retenu que le recourant souffrait d'un syndrome post-traumatique à la suite de l'agression subie en 2003 ne lie pas les juridictions civiles, dès lors que le TAF ne disposait pas d'une vue d'ensemble des faits litigieux. Au vu de ce qui précède, le premier juge a, à bon droit, refusé d'octroyer l'assistance juridique au recourant au motif que son appel était dénué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LA VICE-PRÉSIDENTE DE LA COUR : A la forme : Déclare recevable le recours formé par A______ contre la décision rendue le 2 septembre 2013 par la Vice-présidente du Tribunal civil dans la cause AC/237/2013. Au fond : Le rejette. Déboute A______ de toutes autres conclusions. Dit qu'il n'est pas perçu de frais judiciaires. Notifie une copie de la présente décision à A______ en l'Étude de M e Isabelle HERING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