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AC/2371/2023 vom 18. September 2023</w:t>
      </w:r>
    </w:p>
    <w:p>
      <w:r>
        <w:t>GE Cour de justice, 2023-09-18, FR</w:t>
      </w:r>
    </w:p>
    <w:p>
      <w:r>
        <w:rPr>
          <w:b/>
        </w:rPr>
        <w:t xml:space="preserve">Quelle: </w:t>
      </w:r>
      <w:r>
        <w:t>https://mcp.opencaselaw.ch/entscheid/ge_gerichte_AC_2371_2023</w:t>
      </w:r>
    </w:p>
    <w:p>
      <w:r>
        <w:t>FR: GE_GERICHTE AC/2371/2023 du 18 septembre 2023</w:t>
      </w:r>
    </w:p>
    <w:p>
      <w:r>
        <w:t>IT: GE_GERICHTE AC/2371/2023 del 18 settembre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premier juge d'avoir retenu qu'elle était assistée d'un avocat pour sa requête d'assistance juridique et de ne pas lui avoir imparti, en conséquence, de délai supplémentaire pour compléter sa requête lacunaire. Elle fait encore valoir qu'elle a besoin d'être assistée d'un avocat dès lors que la procédure de libération de curateurs n'est pas anodine et nécessite un travail d'analyse et de formulation dont elle est incapable.![endif]&gt;![if&gt;</w:t>
      </w:r>
    </w:p>
    <w:p>
      <w:r>
        <w:rPr>
          <w:b/>
        </w:rPr>
        <w:t>E. 2.1</w:t>
      </w:r>
    </w:p>
    <w:p>
      <w:r>
        <w:t>2.1.1. Reprenant l'art. 29 al. 3 Cst., l'art. 117 CPC prévoit que toute personne qui ne dispose pas de ressources suffisantes a droit à l'assistance judiciaire à moins que sa cause paraisse dépourvue de toute chance de succès.</w:t>
      </w:r>
    </w:p>
    <w:p>
      <w:r>
        <w:rPr>
          <w:b/>
        </w:rPr>
        <w:t>E. 2.1.2</w:t>
      </w:r>
    </w:p>
    <w:p>
      <w:r>
        <w:t>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 du Tribunal fédéral 5A_502/2017 du 15 août 2017 consid 3.2).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2.1.3</w:t>
      </w:r>
    </w:p>
    <w:p>
      <w:r>
        <w:t>Une procuration doit être jointe à la demande si celle-ci est déposée par l’intermédiaire d’un représentant au sens de l’art. 68 CPC (art. 221 al. 2 let. a CPC; Tappy, Commentaire romand, Code de procédure civil, 2 ème éd., 2019, n. 27 ad art. 221 CPC).</w:t>
      </w:r>
    </w:p>
    <w:p>
      <w:r>
        <w:rPr>
          <w:b/>
        </w:rPr>
        <w:t>E. 2.1.4</w:t>
      </w:r>
    </w:p>
    <w:p>
      <w:r>
        <w:t>En vertu de l'art. 118 al. 1 let. c CPC, la nomination d'un avocat rémunéré par l'Etat ne se justifie que lorsque son intervention apparaît nécessaire. La défense d'office (art. 118 al. 1 lit. a CPC) est conçue comme la conséquence de l'octroi de l'assistance judiciaire, de sorte que tant la condition de l'indigence du requérant (art. 117 lit. c CPC) que celle d'une position dans la procédure non dépourvue de chances de succès (art. 117 lit. b CPC) doivent être préalablement réunies (arrêts du Tribunal fédéral 5A_101/2022 du 12 avril 2022 consid. 5.2.1; 5A_591/2020 du 17 novembre 2020 consid. 4; 5A_961/2018 du 15 mai 2019 consid. 5.1.1). Parmi les critères pour apprécier la nécessité objective d'un défenseur d'office, il convient de tenir compte des circonstances concrètes de l'affaire, de sa complexité, des questions de fait et de droit à résoudre, des particularités des règles de procédure applicables, des connaissances juridiques de la personne requérante ou de son ou sa représentante, du fait que la partie adverse est assistée d'une avocate, de la situation juridique pouvant être affectée de manière particulièrement grave ou d'une affaire mettant sérieusement en cause les intérêts de la personne requérante et présentant des difficultés de fait ou de droit auxquelles elle ne pourrait faire face seule (ATF 130 I 180 consid. 2.2, JdT 2004 I 431; ATF 128 I 225 consid. 2.5.2, JdT 2006 IV 47; arrêt du Tribunal fédéral 4A_87/2008 du 28 mars 2008 consid. 3.1). La nécessité d'un défenseur d'office n'est pas exclue du simple fait que la maxime inquisitoire serait applicable à la cause, bien qu'il se justifie alors de se montrer plus exigeant quant à la réalisation des conditions auxquelles l'assistance d'une avocate est nécessaire (arrêt du Tribunal fédéral 4A_36/2007 du 3 mai 2007; ATF 125 V 32 consid. 4b).</w:t>
      </w:r>
    </w:p>
    <w:p>
      <w:r>
        <w:rPr>
          <w:b/>
        </w:rPr>
        <w:t>E. 2.1.5</w:t>
      </w:r>
    </w:p>
    <w:p>
      <w:r>
        <w:t>La personne concernée ou l'un de ses proches peut demander que le curateur soit libéré de ses fonctions (art. 423 al. 2 CC). L'autorité de protection de l'adulte libère le curateur de ses fonctions (1) s'il n'est plus apte à remplir les tâches qui lui sont confiées ou (2) s'il existe un autre juste motif de libération (art. 423 al. 1 ch. 1 et 2 CC). L'autorité de protection dispose d'un pouvoir d'appréciation étendu aussi bien lorsqu'elle examine l'aptitude du ou de la mandataire (art. 400 CC) que lorsqu'elle le ou la libère pour inaptitude. L'application de l'art. 423 CC restant gouvernée par le principe de proportionnalité, l'autorité de protection doit exiger une sérieuse mise en danger des intérêts ou du bien-être de la personne protégée pour prononcer la libération du curateur ou de la curatrice, notamment par une grave négligence dans l'exercice du mandat, un abus dans l'exercice de sa fonction et une indignité de de la mandataire et de son comportement, tous ces motifs devant avoir pour résultante la destruction insurmontable des rapports de confiance ( DAS/124/2017 , DAS/225/2014 ; Rosch, Commentaire du droit de la famille, Protection de l'adulte, 2012, nos. 5, 6 et 8 ad art. 423 CC et les références citées).</w:t>
      </w:r>
    </w:p>
    <w:p>
      <w:r>
        <w:rPr>
          <w:b/>
        </w:rPr>
        <w:t>E. 2.2</w:t>
      </w:r>
    </w:p>
    <w:p>
      <w:r>
        <w:t>En l'espèce, la demande d'assistance juridique de la recourante n'était accompagnée d'aucune procuration en faveur de Me G______. Ce dernier s'étant contenté d'envoyer par mémo le formulaire de demande d'assistance judiciaire au greffe de l'assistance juridique, la recourante restait seule interlocutrice du greffe précité dans le cadre de sa demande. Il s'ensuit qu'il appartenait au greffe de l'assistance juridique d'interpeller la recourante, non assistée et juridiquement inexpérimentée, pour qu'elle complète sa requête d'assistance juridique lacunaire, à savoir pour préciser les reproches formulés à l'encontre des deux curateurs de son fils et produire les pièces susceptibles d'étayer ses allégations, afin que le premier juge puisse se prononcer sur les chances de succès de sa cause. Si les deux conditions de l'art. 117 CPC devaient s'avérer remplies, il conviendrait de réexaminer la nécessité de l'intervention d'un avocat en tenant compte en particulier des circonstances concrètes du cas d'espèce et de la complexité de l'affaire. Le recours sera donc admis et la cause renvoyée à l'autorité précédente pour nouvelle décision, après avoir octroyé un délai supplémentaire à la recourante afin qu'elle complète sa requête d'assistance juridique.</w:t>
      </w:r>
    </w:p>
    <w:p>
      <w:r>
        <w:rPr>
          <w:b/>
        </w:rPr>
        <w:t>E. 3</w:t>
      </w:r>
    </w:p>
    <w:p>
      <w:r>
        <w:t>Sauf exceptions non réalisées en l'espèce, il n'est pas perçu de frais judiciaires pour la procédure d'assistance juridique (art. 119 al. 6 CPC).![endif]&gt;![if&gt; * * * * * PAR CES MOTIFS, LA VICE-PRÉSIDENTE DE LA COUR : A la forme : Déclare recevable le recours formé le 2 octobre 2023 par A______ contre la décision AJC/4703/2023 rendue le 18 septembre 2023 par la vice-présidence du Tribunal civil dans la cause AC/2371/2023. Au fond : Annule ladite décision. Renvoie la cause à l'Autorité de première instance pour nouvelle décision. Déboute A______ de toutes autres conclusions. Dit qu'il n'est pas perçu de frais judiciaires pour le recours, ni alloué de dépens. Notifie une copie de la présente décision à A______ en l'Étude de Me G______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