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AC/2359/2020 vom 29. September 2020</w:t>
      </w:r>
    </w:p>
    <w:p>
      <w:r>
        <w:t>GE Cour de justice, 2020-09-29, FR</w:t>
      </w:r>
    </w:p>
    <w:p>
      <w:r>
        <w:rPr>
          <w:b/>
        </w:rPr>
        <w:t xml:space="preserve">Quelle: </w:t>
      </w:r>
      <w:r>
        <w:t>https://mcp.opencaselaw.ch/entscheid/ge_gerichte_AC_2359_2020</w:t>
      </w:r>
    </w:p>
    <w:p>
      <w:r>
        <w:t>FR: GE_GERICHTE AC/2359/2020 du 29 septembre 2020</w:t>
      </w:r>
    </w:p>
    <w:p>
      <w:r>
        <w:t>IT: GE_GERICHTE AC/2359/2020 del 29 settembre 2020</w:t>
      </w:r>
    </w:p>
    <w:p>
      <w:pPr>
        <w:pStyle w:val="Heading2"/>
      </w:pPr>
      <w:r>
        <w:t>Erwägungen</w:t>
      </w:r>
    </w:p>
    <w:p>
      <w:r>
        <w:rPr>
          <w:b/>
        </w:rPr>
        <w:t>E. 1.1</w:t>
      </w:r>
    </w:p>
    <w:p>
      <w:r>
        <w:t>La décision entreprise est sujette à recours auprès de la présidente de la Cour de justice en tant qu'elle refuse l'assistance juridique (art. 20 al. 3 LPA), compétence expressément déléguée au vice-président soussigné sur la base des art. 29 al. 5 LOJ et 10 al. 1 du Règlement de la Cour de justice (RSG E 2 05.47). Le recours, écrit et motivé, est introduit auprès de l'instance de recours dans un délai de 30 jours (art. 10 al. 3 LPA, 64 al. 3 LOJ, 130, 131 et 321 al. 1 CPC, applicables par renvoi des art. 10 al. 4 LPA et 8 al. 3 RAJ;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 ème éd., n. 2513-2515).</w:t>
      </w:r>
    </w:p>
    <w:p>
      <w:r>
        <w:rPr>
          <w:b/>
        </w:rPr>
        <w:t>E. 1.4</w:t>
      </w:r>
    </w:p>
    <w:p>
      <w:r>
        <w:t>Il n'y a pas lieu d'entendre le recourant, celui-ci ne le sollicitant pas et le dossier contenant suffisamment d'éléments pour statuer (art. 10 al. 3 LPA; arrêt du Tribunal fédéral 2D_73/2015 du 30 juin 2016 consid. 4.2).</w:t>
      </w:r>
    </w:p>
    <w:p>
      <w:r>
        <w:rPr>
          <w:b/>
        </w:rPr>
        <w:t>E. 2</w:t>
      </w:r>
    </w:p>
    <w:p>
      <w:r>
        <w:t>Aux termes de l'art. 326 al. 1 CPC, les allégations de faits et les preuves nouvelles sont irrecevables dans le cadre d'un recours. Par conséquent, les allégués de faits dont le recourant n'a pas fait état en première instance et les pièces nouvelles ne seront pas pris en considération.</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3.2</w:t>
      </w:r>
    </w:p>
    <w:p>
      <w:r>
        <w:t>La LCOU régit le commerce d'objets usagés ou de seconde main, soit notamment l'achat, la vente, la prise en consignation, le courtage, le commerce de gros, ainsi que la récupération (art. 1 LCOU). Selon l'art. 4 LCOU, le commerce professionnel, à titre principal ou accessoire, d'objets usagés ou de seconde main est soumis à l'autorisation préalable du département de la sécurité, de l'emploi et de la santé (ci-après : département) (al. 1). L'autorisation est délivrée à condition que le requérant soit de nationalité suisse ou titulaire d'un permis d'établissement (al. 2 let. a), offre, par ses antécédents et son comportement, des garanties suffisantes pour l'exercice de son commerce (al. 2 let. b), indique où se trouve sa marchandise (al. 2 let. c). A teneur de l'art. 3 du règlement d'exécution de la loi sur le commerce d'objets usagés ou de seconde main du 26 octobre 1988 (RCOU - I 2 09.01), le titulaire de l'autorisation est tenu de produire un extrait du casier judiciaire central (al. 1). Le service sollicite une enquête de police, aux fins de s'assurer que le requérant réponde à la condition prévue à l'art. 4 al. 2 let. b LCOU (al. 2). Conformément à l'art. l'art. 9 al. 1 LCOU, le marchand est astreint à tenir un registre sur lequel sont inscrits toute opération faite par lui, à l'exclusion des ventes (let. a), les objets auxquels se rapportent ces opérations, ainsi que leur prix (let. b), l'identité et le domicile des fournisseurs (let. c). En application de l'art. 5 RCOU, les inscriptions sont numérotées et se font jour par jour, dans le registre des opérations remis par le service (al. 1). Elles comportent l'indication des nom, prénom, date de naissance, origine, adresse des fournisseurs, ainsi que de la pièce d'identité présentée et de son numéro (al. 2). Enfin, l'art. 13 LCOU prévoit qu'en cas d'infraction grave ou réitérée à la loi ou à ses dispositions d'application, le département peut prononcer à l'encontre du marchand un avertissement (al. 1 let. a), la suspension de l'autorisation pour un à six mois (al. 1 let. b), le retrait de l'autorisation (al. 1 let. c). Indépendamment du prononcé de telles sanctions, le département peut infliger une amende administrative de 100 fr. à 20'000 fr. à toute personne qui enfreint la loi ou ses dispositions d'application.</w:t>
      </w:r>
    </w:p>
    <w:p>
      <w:r>
        <w:rPr>
          <w:b/>
        </w:rPr>
        <w:t>E. 3.3</w:t>
      </w:r>
    </w:p>
    <w:p>
      <w:r>
        <w:t>Le principe de la proportionnalité exige que les mesures mises en oeuvre soient propres à atteindre le but visé (règle de l'aptitude) et que celui-ci ne puisse être atteint par une mesure moins contraignante (règle de la nécessité ou de la subsidiarité); il doit en outre y avoir un rapport raisonnable entre ce but et les intérêts compromis (principe de la proportionnalité au sens étroit, impliquant une pesée des intérêts; ATF 140 I 168 consid. 4.2.1; 135 I 233 consid. 3.1; ATA/124/2021 du 2 février 2021 consid. 3d).</w:t>
      </w:r>
    </w:p>
    <w:p>
      <w:r>
        <w:rPr>
          <w:b/>
        </w:rPr>
        <w:t>E. 3.4</w:t>
      </w:r>
    </w:p>
    <w:p>
      <w:r>
        <w:t>En l'espèce, s'il est vrai que le recourant a été condamné pénalement dans le cadre de l'exercice de son commerce, il n'apparaît pas que les infractions en cause ressortent de la criminalité organisée ou de l'infraction par métier. En effet, les faits pour lesquels il a été condamné se limitent à la vente, respectivement la détention, de six objets (trois vélos, un pistolet factice, un bâton tactique et un détecteur de radar), alors que le recourant exerce son activité depuis dix ans. Par ailleurs, il n'est pas impossible que la chambre administrative prenne en considération, dans le cadre de l'examen de la pesée d'intérêts, l'absence d'antécédents, l'ancienneté des faits reprochés (datant de 2017), la peine somme toute légère à laquelle le recourant a été condamné, ainsi que sa situation financière (l'intéressé étant à la retraite et ayant encore au moins un enfant à charge). Dans ces conditions, le recours interjeté à l'encontre de la décision de refus d'une nouvelle autorisation de vendre des objets usagés ou de seconde main ne paraît pas d'emblée dépourvu de chance de succès. Il s'ensuit que le présent recours doit être admis, la décision querellée annulée et la cause renvoyée au Vice-président du Tribunal civil pour instruction complémentaire sur la condition d'indigence ainsi que sur la nécessité de l'assistance par un professionnel, puis nouvelle décision.</w:t>
      </w:r>
    </w:p>
    <w:p>
      <w:r>
        <w:rPr>
          <w:b/>
        </w:rPr>
        <w:t>E. 4</w:t>
      </w:r>
    </w:p>
    <w:p>
      <w:r>
        <w:t>Sauf exceptions non réalisées en l'espèce, il n'est pas perçu de frais judiciaires pour la procédure d'assistance juridique (art. 119 al. 6 CPC). Le recourant n'ayant pas conclu à des dépens, il ne lui en sera pas alloué. * * * * * PAR CES MOTIFS, LE VICE-PRÉSIDENT DE LA COUR : A la forme : Déclare recevable le recours formé par A______ contre la décision rendue le 29 septembre 2020 par la Vice-présidente du Tribunal de première instance dans la cause AC/2359/2020. Au fond : Annule la décision entreprise. Cela fait : Renvoie la cause au Vice-président du Tribunal civil pour instruction complémentaire et nouvelle décision. Déboute A______ de toutes autres conclusions. Dit qu'il n'est pas perçu de frais judiciaires pour le recours. Notifie une copie de la présente décision à A______ en l'Étude de M e Jacques EMERY (art. 137 CPC). Siégeant : Monsieur Patrick CHENAUX, Vice-président; Madame Maïté VALENTE, greffière. Indication des voies de recours : Conformément aux art. 82 ss de la loi fédérale sur le Tribunal fédéral du 17 juin 2005 (LTF; RS 173.110), la présente décision peut être portée dans les trente jours qui suivent sa notification par-devant le Tribunal fédéral par la voie du recours en matière de droit public.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