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AC/2353/2017 vom 20. November 2017</w:t>
      </w:r>
    </w:p>
    <w:p>
      <w:r>
        <w:t>GE Cour de justice, 2017-11-20, FR</w:t>
      </w:r>
    </w:p>
    <w:p>
      <w:r>
        <w:rPr>
          <w:b/>
        </w:rPr>
        <w:t xml:space="preserve">Quelle: </w:t>
      </w:r>
      <w:r>
        <w:t>https://mcp.opencaselaw.ch/entscheid/ge_gerichte_AC_2353_2017</w:t>
      </w:r>
    </w:p>
    <w:p>
      <w:r>
        <w:t>FR: GE_GERICHTE AC/2353/2017 du 20 novembre 2017</w:t>
      </w:r>
    </w:p>
    <w:p>
      <w:r>
        <w:t>IT: GE_GERICHTE AC/2353/2017 del 20 novembre 2017</w:t>
      </w:r>
    </w:p>
    <w:p>
      <w:pPr>
        <w:pStyle w:val="Heading2"/>
      </w:pPr>
      <w:r>
        <w:t>Regeste</w:t>
      </w:r>
    </w:p>
    <w:p>
      <w:r>
        <w:t>ACTION EN LIBÉRATION DE DETTE ; CHANCES DE SUCCÈS ; ABUS DE DROIT</w:t>
      </w:r>
    </w:p>
    <w:p>
      <w:pPr>
        <w:pStyle w:val="Heading2"/>
      </w:pPr>
      <w:r>
        <w:t>Erwägungen</w:t>
      </w:r>
    </w:p>
    <w:p>
      <w:r>
        <w:rPr>
          <w:b/>
        </w:rPr>
        <w:t>E. 1.1</w:t>
      </w:r>
    </w:p>
    <w:p>
      <w:r>
        <w:t>En tant qu'elle refuse l'assistance juridique, la décision entreprise est sujette à recours auprès de la présidente de la Cour de justice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les recourants n'ont pas fait état en première instance et les pièces nouvelles ne seront pas pris en considération.</w:t>
      </w:r>
    </w:p>
    <w:p>
      <w:r>
        <w:rPr>
          <w:b/>
        </w:rPr>
        <w:t>E. 3</w:t>
      </w:r>
    </w:p>
    <w:p>
      <w:r>
        <w:t>Les recourants reprochent au Vice-président du Tribunal civil d'avoir considéré que les chances de succès de l'action en libération de dette qu'ils avaient formée étaient faibles.![endif]&gt;![if&gt;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139 III 475 consid. 2.2, in JdT 2015 II p. 247; 138 III 217 consid. 2.2.4, in JdT 2014 II p. 267; 128 I 225 consid. 2.5.3, in JdT 2006 IV p. 47). La situation doit être appréciée à la date du dépôt de la requête et sur la base d'un examen sommaire (ATF 142 III 138 précité consid. 5.1; 139 III 475 précité consid. 2.2; 133 III 614 consid. 5). La décision d'assistance judiciaire doit certes être rendue avec une certaine précision; elle ne doit toutefois pas conduire à déplacer à ce stade le procès au fond.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 du Tribunal fédéral 5A_327/2017 du 2 août 2017 consid. 4 et les références citées). Lorsque la requête d'assistance judiciaire est introduite pour la procédure de première instance, le juge ne doit pas se montrer trop strict lorsqu'il apprécie les moyens de preuve offerts par les parties. En outre, de manière générale, plus les questions en cause sont complexes et débattues, plus il faut tendre à admettre que les chances de succès de l'action sont suffisantes au sens de l'art. 117 let. b CPC (arrêt du Tribunal fédéral 5A_327/2017 précité consid. 5.2 et les références citées).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w:t>
      </w:r>
    </w:p>
    <w:p>
      <w:r>
        <w:rPr>
          <w:b/>
        </w:rPr>
        <w:t>E. 3.2</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in SJ 2013 I p. 81; 135 III 162 consid. 3.3.1; 129 III 493 consid. 5.1, in JdT 2004 I p. 49). L'emploi dans le texte légal du qualificatif "manifeste" démontre que l'abus de droit ne doit être admis qu'avec restriction (ATF 139 III 24 consid. 3.3; 138 III 401 consid. 2.4.1, in SJ 2012 I p. 446; 135 III 162 précité consid. 3.3.1). Les cas typiques en sont l'absence d'intérêt à l'exercice d'un droit, l'utilisation d'une institution juridique contrairement à son but, la disproportion manifeste des intérêts en présence, l'exercice d'un droit sans ménagement ou l'attitude contradictoire (ATF 138 III 401 précité consid. 2.4.1; 135 III 162 précité consid. 3.3.1; 132 I 249 consid. 5; ATF 129 III 493 précité consid. 5.1; 127 III 357 consid. 4c/bb, in JdT 2002 I p. 192). La règle prohibant l'abus de droit permet au juge de corriger les effets de la loi dans certains cas où l'exercice d'un droit allégué créerait une injustice manifeste (ATF 135 III 162 précité consid. 3.3.1; 134 III 52 consid. 2.1 et les références citées, in SJ 2008 I p. 286). L'exercice d'un droit est abusif lorsqu'il contredit un comportement antérieur et les attentes légitimes que ce comportement a pu susciter (ATF 133 III 61 consid. 4.1; 130 III 113 consid. 4.2, in JdT 2004 I p. 296; 129 III 493 précité consid. 5.1 et les arrêts cités). Il incombe à la partie qui se prévaut d'un abus de droit d'établir les circonstances particulières qui autorisent à retenir cette exception (ATF 134 III 52 précité consid. 2.1 in fine et les arrêts cités).</w:t>
      </w:r>
    </w:p>
    <w:p>
      <w:r>
        <w:rPr>
          <w:b/>
        </w:rPr>
        <w:t>E. 3.3</w:t>
      </w:r>
    </w:p>
    <w:p>
      <w:r>
        <w:t>En l'espèce, les recourants ont requis l'octroi de l'assistance juridique afin de faire constater l'inexistence des créances dont D______ se prétend titulaire en vertu du contrat de cautionnement solidaire conclu le 29 octobre 2012. Il n'apparaît toutefois pas, sur la base des pièces produites et des preuves offertes, selon un examen sommaire des faits allégués en procédure, que l'action en libération de dette formée par les recourants ait des chances d'aboutir. Premièrement, la thèse selon laquelle D______ aurait orchestré la faillite de la SARL en vue de la reprendre n'est étayée par aucun moyen de preuve probant. En effet, même à considérer, ainsi que l'affirment les recourants, que la situation financière de la SARL avait commencé à s'améliorer dès la fin de l'année 2013, cela n'empêchait pas D______ de solliciter le remboursement des soldes (toujours) négatifs des comptes en septembre 2015. Les courts délais octroyés à la SARL pour assainir la société et rembourser les soldes négatifs des comptes ne suffisent pas, à eux seuls, à retenir un abus de droit, ce d'autant plus que des premiers signaux d'alerte avaient été émis en mai 2015 déjà. En outre, compte tenu de l'état de surendettement de la SARL et des pouvoirs conférés à D______, il n'est pas étonnant que cette dernière, chargée de tous les flux de paiement, ait décidé de suspendre certains paiements et de réduire les frais. L'on ne voit également pas, prima facie , en quoi D______ aurait trahi la confiance des recourants en leur prêtant 1'500'000 fr. en 2010, via E______ SA. En effet, au moment de la signature du contrat de prêt, D______ ne pouvait pas anticiper les difficultés financières qu'éprouverait la SARL en raison de la faible fréquentation de la droguerie/parfumerie et des travaux entrepris dans les rues adjacentes à la pharmacie. Quant à l'art. 9 du contrat de cautionnement, il est douteux que le Tribunal de première instance arrive à une interprétation différente de celle retenue par le Tribunal de district de ______ [ZH], quand bien même celui-ci a statué dans le cadre de la procédure particulière de la mainlevée d'opposition. Enfin, il n'apparaît pas que les questions en cause soient complexes et débattues. Il résulte des considérations qui précèdent que c'est à bon droit que le Vice-président du Tribunal civil a refusé d'octroyer l'assistance juridique aux recourants, compte tenu des faibles chances de succès de leur action. Partant, le recours, infondé, sera rejeté. Pour le surplus, l'instance de recours n'est pas compétente pour statuer sur la requête d'assistance juridique formée par les recourants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7 décembre 2017 par A______ et B______ contre la décision rendue le 20 novembre 2017 par le Vice-président du Tribunal civil dans la cause AC/2353/2017. Au fond : Le rejette. Déboute A______ et B______ de toutes autres conclusions. Dit qu'il n'est pas perçu de frais judiciaires pour le recours, ni alloué de dépens. Notifie une copie de la présente décision à A______ et B______ en l'Etude de M e Michael WINKLER (art. 137 CPC). Siégeant : Monsieur Patrick CHENAUX, vice-président; Madame Fatina SCHAERER, greffière. Le vice-président : Patrick CHENAUX La greffière : Fatina SCHAERER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