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AC/2349/2004 vom 12. September 2008</w:t>
      </w:r>
    </w:p>
    <w:p>
      <w:r>
        <w:t>GE Cour de justice, 2008-09-12, FR</w:t>
      </w:r>
    </w:p>
    <w:p>
      <w:r>
        <w:rPr>
          <w:b/>
        </w:rPr>
        <w:t xml:space="preserve">Quelle: </w:t>
      </w:r>
      <w:r>
        <w:t>https://mcp.opencaselaw.ch/entscheid/ge_gerichte_AC_2349_2004</w:t>
      </w:r>
    </w:p>
    <w:p>
      <w:r>
        <w:t>FR: GE_GERICHTE AC/2349/2004 du 12 septembre 2008</w:t>
      </w:r>
    </w:p>
    <w:p>
      <w:r>
        <w:t>IT: GE_GERICHTE AC/2349/2004 del 12 settembre 2008</w:t>
      </w:r>
    </w:p>
    <w:p>
      <w:pPr>
        <w:pStyle w:val="Heading2"/>
      </w:pPr>
      <w:r>
        <w:t>Regeste</w:t>
      </w:r>
    </w:p>
    <w:p>
      <w:r>
        <w:t>; RÉVOCATION(EN GÉNÉRAL) ; RESTITUTION(EN GÉNÉRAL) ; DIVORCE | RAJ.13.b et RAJ.22.1</w:t>
      </w:r>
    </w:p>
    <w:p>
      <w:pPr>
        <w:pStyle w:val="Heading2"/>
      </w:pPr>
      <w:r>
        <w:t>Erwägungen</w:t>
      </w:r>
    </w:p>
    <w:p>
      <w:r>
        <w:rPr>
          <w:b/>
        </w:rPr>
        <w:t>E. 1</w:t>
      </w:r>
    </w:p>
    <w:p>
      <w:r>
        <w:t>Le recours est recevable pour avoir été déposé selon la forme et dans le délai prescrits (art. 143A al. 3 LOJ et art. 22 al. 3 RAJ).</w:t>
      </w:r>
    </w:p>
    <w:p>
      <w:r>
        <w:rPr>
          <w:b/>
        </w:rPr>
        <w:t>E. 2</w:t>
      </w:r>
    </w:p>
    <w:p>
      <w:r>
        <w:t>L'ouverture d'une procédure de révocation se prescrit par cinq ans dès la clôture du dossier d'assistance juridique, délai durant lequel une enquête peut être ordonnée sur la situation financière du bénéficiaire (art. 14 al. 4 RAJ). Le bénéficiaire est entendu, l'avocat nommé pouvant également l'être (art. 14 al. 2 RAJ). Ces réquisits formels ont été respectés par le premier juge.</w:t>
      </w:r>
    </w:p>
    <w:p>
      <w:r>
        <w:rPr>
          <w:b/>
        </w:rPr>
        <w:t>E. 3</w:t>
      </w:r>
    </w:p>
    <w:p>
      <w:r>
        <w:t>Au fond, la révocation est ordonnée, totalement ou partiellement, avec ou sans effet rétroactif, en cours ou à l'issue dela procédure concernée, notamment à l'égard d'un bénéficiairedont la situation s'améliore et lui permet de prendre en charge tout ou partie de ses frais de justice ou honoraires d'avocat, par exemple suite à l'issue favorable de la procédure ou des démarches entreprises (art. 13 lit. b RAJ). En cas de révocation avec effet rétroactif […], le bénéficiaire est condamné au paiement des montants qu'il a été dispensé de verser et au remboursement de ceux versés par l'Etat (art. 22 al. 1 RAJ).</w:t>
      </w:r>
    </w:p>
    <w:p>
      <w:r>
        <w:rPr>
          <w:b/>
        </w:rPr>
        <w:t>E. 4</w:t>
      </w:r>
    </w:p>
    <w:p>
      <w:r>
        <w:t>En l'espèce, la situation du recourant est sensiblement meilleure actuellement qu'à l'époque de l'octroi de l'assistance juridique, ce qu'il ne conteste pas, puisqu'il bénéficie aujourd'hui d'un solde disponible de 1'373 fr. 70. Le fait que cette amélioration ne résulte pas de l'issue de la procédure couverte par l'assistance juridique n'exclut pas l'application de l'art. 13 lit. b RAJ, car ce cas de figure est cité à titre d'exemple dans cette disposition, ce qui laisse de la place à des révocations dues à l'amélioration d'une situation financière découlant d'une autre cause. Le recourant invoque le temps passé entre la décision querellée et le jugement de divorce. Il est vrai que quelques années se sont écoulées depuis lors. La révocation de l'octroi susmentionné est néanmoins conforme au droit. En effet, à la date de cette décision, le dossier d'assistance juridique n'avait pas encore été clos, de sorte que le délai de 5 ans prévu par l'art. 14 al. 4 RAJ n'avait pas encore commencé à courir. Au surplus, la décision d'octroi mentionnait expressément que le recourant était admis au bénéfice de l'assistance juridique sous réserve d'un réexamen de sa situation financière à l'issue de la procédure. Le recourant savait, dès lors, que cette assistance juridique pouvait être révoquée. Compte tenu de ce qui précède, le recours sera rejeté. Le recourant pourra, s'il le souhaite, contacter le Service de l'assistance juridique pour convenir d'un éventuel arrangement de paiement du montant de 5'876 fr., sous forme de mensualités. PAR CES MOTIFS, LE VICE-PRESIDENT DE LA COUR : A la forme : Reçoit le recours. Au fond : Le rejette. Déboute X______ de toutes autres conclusions. Notifie une copie de la présente décision à X______. Le Vice-président : François CHAIX Le greffier : : Thierry GILLIERON Indication des voies de recours : 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